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958" w:rsidRDefault="00582958" w:rsidP="00582958">
      <w:pPr>
        <w:spacing w:after="0"/>
      </w:pPr>
      <w:r>
        <w:t>Eugene G. Maurice</w:t>
      </w:r>
      <w:r>
        <w:tab/>
      </w:r>
      <w:r>
        <w:tab/>
      </w:r>
      <w:r>
        <w:tab/>
      </w:r>
      <w:r>
        <w:tab/>
      </w:r>
      <w:r>
        <w:tab/>
        <w:t>March 2</w:t>
      </w:r>
      <w:r w:rsidR="00272EB7">
        <w:t>3</w:t>
      </w:r>
      <w:r>
        <w:t>, 2020</w:t>
      </w:r>
    </w:p>
    <w:p w:rsidR="00582958" w:rsidRDefault="00582958" w:rsidP="00582958">
      <w:pPr>
        <w:spacing w:after="0"/>
      </w:pPr>
      <w:r>
        <w:t>61 Shockley Way</w:t>
      </w:r>
      <w:r>
        <w:tab/>
      </w:r>
      <w:r>
        <w:tab/>
      </w:r>
      <w:r>
        <w:tab/>
      </w:r>
      <w:r>
        <w:tab/>
      </w:r>
      <w:r>
        <w:tab/>
        <w:t>308/PG</w:t>
      </w:r>
    </w:p>
    <w:p w:rsidR="00582958" w:rsidRDefault="00582958" w:rsidP="00582958">
      <w:pPr>
        <w:spacing w:after="0"/>
      </w:pPr>
      <w:r>
        <w:t>Dallas, GA 30157</w:t>
      </w:r>
      <w:r>
        <w:tab/>
      </w:r>
      <w:r>
        <w:tab/>
      </w:r>
      <w:r>
        <w:tab/>
      </w:r>
      <w:r>
        <w:tab/>
      </w:r>
      <w:r>
        <w:tab/>
        <w:t>File Number: 26251678</w:t>
      </w:r>
    </w:p>
    <w:p w:rsidR="00582958" w:rsidRDefault="00582958"/>
    <w:p w:rsidR="00582958" w:rsidRPr="00B91259" w:rsidRDefault="00694CF1">
      <w:pPr>
        <w:rPr>
          <w:b/>
          <w:u w:val="single"/>
        </w:rPr>
      </w:pPr>
      <w:bookmarkStart w:id="0" w:name="_GoBack"/>
      <w:r w:rsidRPr="00B91259">
        <w:rPr>
          <w:b/>
          <w:u w:val="single"/>
        </w:rPr>
        <w:t xml:space="preserve">Affidavit Attesting to Service in the Republic of Vietnam </w:t>
      </w:r>
    </w:p>
    <w:bookmarkEnd w:id="0"/>
    <w:p w:rsidR="00694CF1" w:rsidRDefault="00E06A9E">
      <w:r w:rsidRPr="00E06A9E">
        <w:t xml:space="preserve">I was under the assumption that the VA would have access </w:t>
      </w:r>
      <w:r>
        <w:t>to my military records that would show my service in Vietnam. I have requested a copy of those records from the National Personnel Record Center</w:t>
      </w:r>
      <w:r w:rsidR="00272EB7">
        <w:t xml:space="preserve"> on March 19, 2020</w:t>
      </w:r>
      <w:r w:rsidR="006D6F8F">
        <w:t>, Service Request Number: 2-23966823995</w:t>
      </w:r>
      <w:r>
        <w:t xml:space="preserve">. My understanding </w:t>
      </w:r>
      <w:r w:rsidR="00272EB7">
        <w:t xml:space="preserve">is that </w:t>
      </w:r>
      <w:r>
        <w:t xml:space="preserve">the request could take </w:t>
      </w:r>
      <w:r w:rsidR="00E7642A">
        <w:t>anywhere from 15 to 90</w:t>
      </w:r>
      <w:r>
        <w:t xml:space="preserve"> days to complete.</w:t>
      </w:r>
      <w:r w:rsidR="00272EB7">
        <w:t xml:space="preserve"> I will forward the appropriate records once I receive them from NPRC. </w:t>
      </w:r>
    </w:p>
    <w:p w:rsidR="00272EB7" w:rsidRPr="00E06A9E" w:rsidRDefault="00272EB7">
      <w:r>
        <w:t xml:space="preserve">In the interim, I submit the following affidavit. </w:t>
      </w:r>
    </w:p>
    <w:p w:rsidR="00D13C0E" w:rsidRDefault="00291455">
      <w:r>
        <w:t>I was stationed I the Republic of Vietnam from on or about September 15, 1967 to October 15, 1968.</w:t>
      </w:r>
    </w:p>
    <w:p w:rsidR="00291455" w:rsidRDefault="00291455">
      <w:r>
        <w:t>From September 1967 to Ju</w:t>
      </w:r>
      <w:r w:rsidR="00EE5EDC">
        <w:t>ly</w:t>
      </w:r>
      <w:r>
        <w:t xml:space="preserve"> 1968 I was with Delta Company and H&amp;S Company, 1</w:t>
      </w:r>
      <w:r w:rsidRPr="00291455">
        <w:rPr>
          <w:vertAlign w:val="superscript"/>
        </w:rPr>
        <w:t>st</w:t>
      </w:r>
      <w:r>
        <w:t xml:space="preserve"> Battalion, 3</w:t>
      </w:r>
      <w:r w:rsidRPr="00291455">
        <w:rPr>
          <w:vertAlign w:val="superscript"/>
        </w:rPr>
        <w:t>rd</w:t>
      </w:r>
      <w:r>
        <w:t xml:space="preserve"> Marine Regiment</w:t>
      </w:r>
      <w:r w:rsidR="00E06A9E">
        <w:t>, 3</w:t>
      </w:r>
      <w:r w:rsidR="00E06A9E" w:rsidRPr="00E06A9E">
        <w:rPr>
          <w:vertAlign w:val="superscript"/>
        </w:rPr>
        <w:t>rd</w:t>
      </w:r>
      <w:r w:rsidR="00E06A9E">
        <w:t xml:space="preserve"> Marine Division</w:t>
      </w:r>
      <w:r>
        <w:t xml:space="preserve">. </w:t>
      </w:r>
      <w:r w:rsidR="00E06A9E">
        <w:t>From September 1967 through December 1967 the unit was detached from the 3</w:t>
      </w:r>
      <w:r w:rsidR="00E06A9E" w:rsidRPr="00E06A9E">
        <w:rPr>
          <w:vertAlign w:val="superscript"/>
        </w:rPr>
        <w:t>rd</w:t>
      </w:r>
      <w:r w:rsidR="00E06A9E">
        <w:t xml:space="preserve"> Division and assigned as 1/3 Battalion Landing Team</w:t>
      </w:r>
      <w:r w:rsidR="00E7642A">
        <w:t>.</w:t>
      </w:r>
      <w:r w:rsidR="00E06A9E">
        <w:t xml:space="preserve">  </w:t>
      </w:r>
      <w:r>
        <w:t>The unit op</w:t>
      </w:r>
      <w:r w:rsidR="00D917DE">
        <w:t xml:space="preserve">erated in the northern half of </w:t>
      </w:r>
      <w:r w:rsidR="00D917DE" w:rsidRPr="00D917DE">
        <w:rPr>
          <w:rFonts w:ascii="Times New Roman" w:hAnsi="Times New Roman" w:cs="Times New Roman"/>
        </w:rPr>
        <w:t>I</w:t>
      </w:r>
      <w:r>
        <w:t xml:space="preserve"> Corps TAOR for that entire period.</w:t>
      </w:r>
    </w:p>
    <w:p w:rsidR="00291455" w:rsidRDefault="00291455" w:rsidP="00291455">
      <w:r>
        <w:t xml:space="preserve">From </w:t>
      </w:r>
      <w:r w:rsidR="00EE5EDC">
        <w:t>August</w:t>
      </w:r>
      <w:r>
        <w:t xml:space="preserve"> 1968 to October 1968 I was with H&amp;S Company, </w:t>
      </w:r>
      <w:r w:rsidR="00694CF1">
        <w:t>2</w:t>
      </w:r>
      <w:r w:rsidR="00694CF1" w:rsidRPr="00694CF1">
        <w:rPr>
          <w:vertAlign w:val="superscript"/>
        </w:rPr>
        <w:t>nd</w:t>
      </w:r>
      <w:r>
        <w:t xml:space="preserve"> Battalion, </w:t>
      </w:r>
      <w:r w:rsidR="00582958">
        <w:t>7th</w:t>
      </w:r>
      <w:r>
        <w:t xml:space="preserve"> Marine Regiment</w:t>
      </w:r>
      <w:r w:rsidR="00E06A9E">
        <w:t xml:space="preserve">, </w:t>
      </w:r>
      <w:proofErr w:type="gramStart"/>
      <w:r w:rsidR="00E06A9E">
        <w:t>1st</w:t>
      </w:r>
      <w:proofErr w:type="gramEnd"/>
      <w:r w:rsidR="00E06A9E">
        <w:t xml:space="preserve"> Marine Division</w:t>
      </w:r>
      <w:r>
        <w:t xml:space="preserve">. The unit </w:t>
      </w:r>
      <w:r w:rsidR="00E7642A">
        <w:t xml:space="preserve">also </w:t>
      </w:r>
      <w:r>
        <w:t xml:space="preserve">operated in the northern half of </w:t>
      </w:r>
      <w:r w:rsidRPr="00D917DE">
        <w:rPr>
          <w:rFonts w:ascii="Times New Roman" w:hAnsi="Times New Roman" w:cs="Times New Roman"/>
        </w:rPr>
        <w:t>I</w:t>
      </w:r>
      <w:r>
        <w:t xml:space="preserve"> Corps TAOR for that entire period.</w:t>
      </w:r>
    </w:p>
    <w:p w:rsidR="00EE5EDC" w:rsidRDefault="00EE5EDC">
      <w:r>
        <w:t xml:space="preserve">During my entire tour there were occasions when we were in the vicinity of defoliant spraying operations. </w:t>
      </w:r>
    </w:p>
    <w:p w:rsidR="005958B2" w:rsidRDefault="00291455">
      <w:r>
        <w:t>My most significant exposure to Agent Orange occurred while with the 1</w:t>
      </w:r>
      <w:r w:rsidRPr="00291455">
        <w:rPr>
          <w:vertAlign w:val="superscript"/>
        </w:rPr>
        <w:t>st</w:t>
      </w:r>
      <w:r>
        <w:t xml:space="preserve"> Battalion, 3</w:t>
      </w:r>
      <w:r w:rsidRPr="00291455">
        <w:rPr>
          <w:vertAlign w:val="superscript"/>
        </w:rPr>
        <w:t>rd</w:t>
      </w:r>
      <w:r>
        <w:t xml:space="preserve"> Marine Regiment </w:t>
      </w:r>
      <w:r w:rsidR="00E06A9E">
        <w:t>(</w:t>
      </w:r>
      <w:r w:rsidR="00E74AF1">
        <w:t>BLT 1/3</w:t>
      </w:r>
      <w:r w:rsidR="00E06A9E">
        <w:t xml:space="preserve">) and </w:t>
      </w:r>
      <w:r>
        <w:t xml:space="preserve">operating along the southern edge of the DMZ </w:t>
      </w:r>
      <w:r w:rsidR="00E06A9E">
        <w:t>in support of</w:t>
      </w:r>
      <w:r>
        <w:t xml:space="preserve"> the establishment of Fire Support Base </w:t>
      </w:r>
      <w:r w:rsidR="00041143">
        <w:t>A-3</w:t>
      </w:r>
      <w:r>
        <w:t xml:space="preserve"> </w:t>
      </w:r>
      <w:r w:rsidR="00041143">
        <w:t>during December</w:t>
      </w:r>
      <w:r>
        <w:t xml:space="preserve"> 1967. During thi</w:t>
      </w:r>
      <w:r w:rsidR="005958B2">
        <w:t xml:space="preserve">s period the area around </w:t>
      </w:r>
      <w:r>
        <w:t>the base</w:t>
      </w:r>
      <w:r w:rsidR="00272EB7">
        <w:t>, within 10</w:t>
      </w:r>
      <w:r w:rsidR="005958B2">
        <w:t>0 meters</w:t>
      </w:r>
      <w:r w:rsidR="00E06A9E">
        <w:t xml:space="preserve"> of the perimeter</w:t>
      </w:r>
      <w:r w:rsidR="005958B2">
        <w:t>, was sprayed numerous times with defoliants</w:t>
      </w:r>
      <w:r w:rsidR="00694CF1">
        <w:t xml:space="preserve"> over a 3 week period</w:t>
      </w:r>
      <w:r w:rsidR="005958B2">
        <w:t xml:space="preserve">. </w:t>
      </w:r>
    </w:p>
    <w:p w:rsidR="00383CCC" w:rsidRDefault="005958B2">
      <w:r>
        <w:t>Attached is my DD-214</w:t>
      </w:r>
      <w:r w:rsidR="00272EB7">
        <w:t>, Report of Transfer or Discharge</w:t>
      </w:r>
      <w:r w:rsidR="004D6754">
        <w:t>, indicating</w:t>
      </w:r>
      <w:r w:rsidR="00582958">
        <w:t xml:space="preserve"> </w:t>
      </w:r>
      <w:r>
        <w:t>Service and Campaign awards for service in Vietnam.</w:t>
      </w:r>
      <w:r w:rsidR="00291455">
        <w:t xml:space="preserve"> </w:t>
      </w:r>
    </w:p>
    <w:p w:rsidR="008F6A48" w:rsidRPr="0053485B" w:rsidRDefault="00E06A9E">
      <w:pPr>
        <w:rPr>
          <w:b/>
          <w:i/>
        </w:rPr>
      </w:pPr>
      <w:r w:rsidRPr="0053485B">
        <w:rPr>
          <w:b/>
          <w:i/>
        </w:rPr>
        <w:t xml:space="preserve">Vietnamese Service Medal with 3 </w:t>
      </w:r>
      <w:r w:rsidR="00383CCC" w:rsidRPr="0053485B">
        <w:rPr>
          <w:b/>
          <w:i/>
        </w:rPr>
        <w:t xml:space="preserve">Campaign </w:t>
      </w:r>
      <w:r w:rsidRPr="0053485B">
        <w:rPr>
          <w:b/>
          <w:i/>
        </w:rPr>
        <w:t>Stars</w:t>
      </w:r>
    </w:p>
    <w:p w:rsidR="008F6A48" w:rsidRPr="00383CCC" w:rsidRDefault="008F6A48" w:rsidP="00383CCC">
      <w:pPr>
        <w:ind w:left="720"/>
        <w:rPr>
          <w:rFonts w:cstheme="minorHAnsi"/>
        </w:rPr>
      </w:pPr>
      <w:r w:rsidRPr="00383CCC">
        <w:rPr>
          <w:rFonts w:cstheme="minorHAnsi"/>
          <w:shd w:val="clear" w:color="auto" w:fill="FFFFFF"/>
        </w:rPr>
        <w:t xml:space="preserve">The Vietnam Service Medal (VSM) was awarded to all members of the U.S. Armed Forces who served in Vietnam and its contiguous waters or airspace, after 3 July 1965 through 28 March 1973. Members of the U.S. Armed Forces in </w:t>
      </w:r>
      <w:hyperlink r:id="rId5" w:tooltip="Thailand" w:history="1">
        <w:r w:rsidRPr="00383CCC">
          <w:rPr>
            <w:rStyle w:val="Hyperlink"/>
            <w:rFonts w:cstheme="minorHAnsi"/>
            <w:color w:val="auto"/>
            <w:u w:val="none"/>
          </w:rPr>
          <w:t>Thailand</w:t>
        </w:r>
      </w:hyperlink>
      <w:r w:rsidRPr="00383CCC">
        <w:rPr>
          <w:rFonts w:cstheme="minorHAnsi"/>
          <w:shd w:val="clear" w:color="auto" w:fill="FFFFFF"/>
        </w:rPr>
        <w:t xml:space="preserve">, </w:t>
      </w:r>
      <w:hyperlink r:id="rId6" w:tooltip="Laos" w:history="1">
        <w:r w:rsidRPr="00383CCC">
          <w:rPr>
            <w:rStyle w:val="Hyperlink"/>
            <w:rFonts w:cstheme="minorHAnsi"/>
            <w:color w:val="auto"/>
            <w:u w:val="none"/>
          </w:rPr>
          <w:t>Laos</w:t>
        </w:r>
      </w:hyperlink>
      <w:r w:rsidRPr="00383CCC">
        <w:rPr>
          <w:rFonts w:cstheme="minorHAnsi"/>
          <w:shd w:val="clear" w:color="auto" w:fill="FFFFFF"/>
        </w:rPr>
        <w:t xml:space="preserve">, </w:t>
      </w:r>
      <w:hyperlink r:id="rId7" w:tooltip="Cambodia" w:history="1">
        <w:r w:rsidRPr="00383CCC">
          <w:rPr>
            <w:rStyle w:val="Hyperlink"/>
            <w:rFonts w:cstheme="minorHAnsi"/>
            <w:color w:val="auto"/>
            <w:u w:val="none"/>
          </w:rPr>
          <w:t>Cambodia</w:t>
        </w:r>
      </w:hyperlink>
      <w:r w:rsidRPr="00383CCC">
        <w:rPr>
          <w:rFonts w:cstheme="minorHAnsi"/>
          <w:shd w:val="clear" w:color="auto" w:fill="FFFFFF"/>
        </w:rPr>
        <w:t xml:space="preserve">, or airspace </w:t>
      </w:r>
      <w:proofErr w:type="spellStart"/>
      <w:r w:rsidRPr="00383CCC">
        <w:rPr>
          <w:rFonts w:cstheme="minorHAnsi"/>
          <w:shd w:val="clear" w:color="auto" w:fill="FFFFFF"/>
        </w:rPr>
        <w:t>thereover</w:t>
      </w:r>
      <w:proofErr w:type="spellEnd"/>
      <w:r w:rsidRPr="00383CCC">
        <w:rPr>
          <w:rFonts w:cstheme="minorHAnsi"/>
          <w:shd w:val="clear" w:color="auto" w:fill="FFFFFF"/>
        </w:rPr>
        <w:t>, during the same period and serving in direct support of operations in Vietnam are also eligible for the award.</w:t>
      </w:r>
      <w:r w:rsidRPr="00383CCC">
        <w:rPr>
          <w:rFonts w:cstheme="minorHAnsi"/>
        </w:rPr>
        <w:t xml:space="preserve"> </w:t>
      </w:r>
    </w:p>
    <w:p w:rsidR="0053485B" w:rsidRDefault="008F6A48" w:rsidP="00383CCC">
      <w:pPr>
        <w:ind w:left="720"/>
        <w:rPr>
          <w:rFonts w:cstheme="minorHAnsi"/>
          <w:shd w:val="clear" w:color="auto" w:fill="FFFFFF"/>
        </w:rPr>
      </w:pPr>
      <w:r w:rsidRPr="00383CCC">
        <w:rPr>
          <w:rFonts w:cstheme="minorHAnsi"/>
          <w:shd w:val="clear" w:color="auto" w:fill="FFFFFF"/>
        </w:rPr>
        <w:t xml:space="preserve">The </w:t>
      </w:r>
      <w:hyperlink r:id="rId8" w:tooltip="United States Department of Defense" w:history="1">
        <w:r w:rsidRPr="00383CCC">
          <w:rPr>
            <w:rStyle w:val="Hyperlink"/>
            <w:rFonts w:cstheme="minorHAnsi"/>
            <w:color w:val="auto"/>
            <w:u w:val="none"/>
          </w:rPr>
          <w:t>U.S. Department of Defense</w:t>
        </w:r>
      </w:hyperlink>
      <w:r w:rsidRPr="00383CCC">
        <w:rPr>
          <w:rFonts w:cstheme="minorHAnsi"/>
          <w:shd w:val="clear" w:color="auto" w:fill="FFFFFF"/>
        </w:rPr>
        <w:t xml:space="preserve"> established thirty military campaigns during the Vietnam War which covered all U.S. service branches. In 2010, the Department of Defense consolidated the </w:t>
      </w:r>
      <w:r w:rsidRPr="00383CCC">
        <w:rPr>
          <w:rFonts w:cstheme="minorHAnsi"/>
          <w:shd w:val="clear" w:color="auto" w:fill="FFFFFF"/>
        </w:rPr>
        <w:lastRenderedPageBreak/>
        <w:t>original list of campaigns from the original thirty to a list of eighteen</w:t>
      </w:r>
      <w:r w:rsidR="0053485B">
        <w:rPr>
          <w:rFonts w:cstheme="minorHAnsi"/>
          <w:shd w:val="clear" w:color="auto" w:fill="FFFFFF"/>
        </w:rPr>
        <w:t xml:space="preserve">. </w:t>
      </w:r>
      <w:proofErr w:type="gramStart"/>
      <w:r w:rsidR="0053485B">
        <w:rPr>
          <w:rFonts w:cstheme="minorHAnsi"/>
          <w:shd w:val="clear" w:color="auto" w:fill="FFFFFF"/>
        </w:rPr>
        <w:t xml:space="preserve">The </w:t>
      </w:r>
      <w:r w:rsidRPr="00383CCC">
        <w:rPr>
          <w:rFonts w:cstheme="minorHAnsi"/>
          <w:shd w:val="clear" w:color="auto" w:fill="FFFFFF"/>
        </w:rPr>
        <w:t>​</w:t>
      </w:r>
      <w:r w:rsidRPr="00383CCC">
        <w:rPr>
          <w:rStyle w:val="frac"/>
          <w:rFonts w:cstheme="minorHAnsi"/>
          <w:vertAlign w:val="superscript"/>
        </w:rPr>
        <w:t>3</w:t>
      </w:r>
      <w:proofErr w:type="gramEnd"/>
      <w:r w:rsidRPr="00383CCC">
        <w:rPr>
          <w:rStyle w:val="frac"/>
          <w:rFonts w:cstheme="minorHAnsi"/>
        </w:rPr>
        <w:t>⁄</w:t>
      </w:r>
      <w:r w:rsidRPr="00383CCC">
        <w:rPr>
          <w:rStyle w:val="frac"/>
          <w:rFonts w:cstheme="minorHAnsi"/>
          <w:vertAlign w:val="subscript"/>
        </w:rPr>
        <w:t>16</w:t>
      </w:r>
      <w:r w:rsidRPr="00383CCC">
        <w:rPr>
          <w:rFonts w:cstheme="minorHAnsi"/>
          <w:shd w:val="clear" w:color="auto" w:fill="FFFFFF"/>
        </w:rPr>
        <w:t xml:space="preserve">" bronze service stars (also known as </w:t>
      </w:r>
      <w:hyperlink r:id="rId9" w:tooltip="Campaign star" w:history="1">
        <w:r w:rsidRPr="00383CCC">
          <w:rPr>
            <w:rStyle w:val="Hyperlink"/>
            <w:rFonts w:cstheme="minorHAnsi"/>
            <w:color w:val="auto"/>
            <w:u w:val="none"/>
          </w:rPr>
          <w:t>campaign stars</w:t>
        </w:r>
      </w:hyperlink>
      <w:r w:rsidRPr="00383CCC">
        <w:rPr>
          <w:rFonts w:cstheme="minorHAnsi"/>
          <w:shd w:val="clear" w:color="auto" w:fill="FFFFFF"/>
        </w:rPr>
        <w:t xml:space="preserve">; 3 silver stars and 2 bronze stars) on the Vietnam Service </w:t>
      </w:r>
      <w:hyperlink r:id="rId10" w:tooltip="Campaign streamer" w:history="1">
        <w:r w:rsidRPr="00383CCC">
          <w:rPr>
            <w:rStyle w:val="Hyperlink"/>
            <w:rFonts w:cstheme="minorHAnsi"/>
            <w:color w:val="auto"/>
            <w:u w:val="none"/>
          </w:rPr>
          <w:t>campaign streamer</w:t>
        </w:r>
      </w:hyperlink>
      <w:r w:rsidR="0053485B">
        <w:rPr>
          <w:rFonts w:cstheme="minorHAnsi"/>
        </w:rPr>
        <w:t xml:space="preserve"> are awarded for service in support of the following campaigns</w:t>
      </w:r>
      <w:r w:rsidRPr="00383CCC">
        <w:rPr>
          <w:rFonts w:cstheme="minorHAnsi"/>
          <w:shd w:val="clear" w:color="auto" w:fill="FFFFFF"/>
        </w:rPr>
        <w:t>.</w:t>
      </w:r>
      <w:r w:rsidR="0053485B">
        <w:rPr>
          <w:rFonts w:cstheme="minorHAnsi"/>
          <w:shd w:val="clear" w:color="auto" w:fill="FFFFFF"/>
        </w:rPr>
        <w:t xml:space="preserve"> My 3 Stars are for participation in three campaigns noted in </w:t>
      </w:r>
      <w:r w:rsidR="0053485B" w:rsidRPr="0053485B">
        <w:rPr>
          <w:rFonts w:cstheme="minorHAnsi"/>
          <w:color w:val="C00000"/>
          <w:shd w:val="clear" w:color="auto" w:fill="FFFFFF"/>
        </w:rPr>
        <w:t>red</w:t>
      </w:r>
      <w:r w:rsidR="0053485B">
        <w:rPr>
          <w:rFonts w:cstheme="minorHAnsi"/>
          <w:shd w:val="clear" w:color="auto" w:fill="FFFFFF"/>
        </w:rPr>
        <w:t>.</w:t>
      </w:r>
    </w:p>
    <w:tbl>
      <w:tblPr>
        <w:tblW w:w="7340" w:type="dxa"/>
        <w:tblInd w:w="93" w:type="dxa"/>
        <w:tblLook w:val="04A0" w:firstRow="1" w:lastRow="0" w:firstColumn="1" w:lastColumn="0" w:noHBand="0" w:noVBand="1"/>
      </w:tblPr>
      <w:tblGrid>
        <w:gridCol w:w="4240"/>
        <w:gridCol w:w="1420"/>
        <w:gridCol w:w="1680"/>
      </w:tblGrid>
      <w:tr w:rsidR="00081227" w:rsidRPr="00081227" w:rsidTr="00081227">
        <w:trPr>
          <w:trHeight w:val="315"/>
        </w:trPr>
        <w:tc>
          <w:tcPr>
            <w:tcW w:w="4240" w:type="dxa"/>
            <w:tcBorders>
              <w:top w:val="single" w:sz="8" w:space="0" w:color="A2A9B1"/>
              <w:left w:val="single" w:sz="8" w:space="0" w:color="A2A9B1"/>
              <w:bottom w:val="single" w:sz="8" w:space="0" w:color="A2A9B1"/>
              <w:right w:val="single" w:sz="8" w:space="0" w:color="A2A9B1"/>
            </w:tcBorders>
            <w:shd w:val="clear" w:color="000000" w:fill="C5D2EA"/>
            <w:vAlign w:val="center"/>
            <w:hideMark/>
          </w:tcPr>
          <w:p w:rsidR="00081227" w:rsidRPr="00081227" w:rsidRDefault="00081227" w:rsidP="00081227">
            <w:pPr>
              <w:spacing w:after="0" w:line="240" w:lineRule="auto"/>
              <w:jc w:val="center"/>
              <w:rPr>
                <w:rFonts w:ascii="Calibri" w:eastAsia="Times New Roman" w:hAnsi="Calibri" w:cs="Calibri"/>
                <w:color w:val="000000"/>
              </w:rPr>
            </w:pPr>
            <w:r w:rsidRPr="00081227">
              <w:rPr>
                <w:rFonts w:ascii="Calibri" w:eastAsia="Times New Roman" w:hAnsi="Calibri" w:cs="Calibri"/>
                <w:color w:val="000000"/>
              </w:rPr>
              <w:t xml:space="preserve">Name of campaign </w:t>
            </w:r>
          </w:p>
        </w:tc>
        <w:tc>
          <w:tcPr>
            <w:tcW w:w="1420" w:type="dxa"/>
            <w:tcBorders>
              <w:top w:val="single" w:sz="8" w:space="0" w:color="A2A9B1"/>
              <w:left w:val="nil"/>
              <w:bottom w:val="single" w:sz="8" w:space="0" w:color="A2A9B1"/>
              <w:right w:val="single" w:sz="8" w:space="0" w:color="A2A9B1"/>
            </w:tcBorders>
            <w:shd w:val="clear" w:color="000000" w:fill="C5D2EA"/>
            <w:vAlign w:val="center"/>
            <w:hideMark/>
          </w:tcPr>
          <w:p w:rsidR="00081227" w:rsidRPr="00081227" w:rsidRDefault="00081227" w:rsidP="00081227">
            <w:pPr>
              <w:spacing w:after="0" w:line="240" w:lineRule="auto"/>
              <w:jc w:val="center"/>
              <w:rPr>
                <w:rFonts w:ascii="Calibri" w:eastAsia="Times New Roman" w:hAnsi="Calibri" w:cs="Calibri"/>
                <w:color w:val="000000"/>
              </w:rPr>
            </w:pPr>
            <w:r w:rsidRPr="00081227">
              <w:rPr>
                <w:rFonts w:ascii="Calibri" w:eastAsia="Times New Roman" w:hAnsi="Calibri" w:cs="Calibri"/>
                <w:color w:val="000000"/>
              </w:rPr>
              <w:t xml:space="preserve">Start date </w:t>
            </w:r>
          </w:p>
        </w:tc>
        <w:tc>
          <w:tcPr>
            <w:tcW w:w="1680" w:type="dxa"/>
            <w:tcBorders>
              <w:top w:val="single" w:sz="8" w:space="0" w:color="A2A9B1"/>
              <w:left w:val="nil"/>
              <w:bottom w:val="single" w:sz="8" w:space="0" w:color="A2A9B1"/>
              <w:right w:val="single" w:sz="8" w:space="0" w:color="A2A9B1"/>
            </w:tcBorders>
            <w:shd w:val="clear" w:color="000000" w:fill="C5D2EA"/>
            <w:vAlign w:val="center"/>
            <w:hideMark/>
          </w:tcPr>
          <w:p w:rsidR="00081227" w:rsidRPr="00081227" w:rsidRDefault="00081227" w:rsidP="00081227">
            <w:pPr>
              <w:spacing w:after="0" w:line="240" w:lineRule="auto"/>
              <w:jc w:val="center"/>
              <w:rPr>
                <w:rFonts w:ascii="Calibri" w:eastAsia="Times New Roman" w:hAnsi="Calibri" w:cs="Calibri"/>
                <w:color w:val="000000"/>
              </w:rPr>
            </w:pPr>
            <w:r w:rsidRPr="00081227">
              <w:rPr>
                <w:rFonts w:ascii="Calibri" w:eastAsia="Times New Roman" w:hAnsi="Calibri" w:cs="Calibri"/>
                <w:color w:val="000000"/>
              </w:rPr>
              <w:t xml:space="preserve">End date </w:t>
            </w:r>
          </w:p>
        </w:tc>
      </w:tr>
      <w:tr w:rsidR="00081227" w:rsidRPr="00081227" w:rsidTr="00081227">
        <w:trPr>
          <w:trHeight w:val="315"/>
        </w:trPr>
        <w:tc>
          <w:tcPr>
            <w:tcW w:w="4240" w:type="dxa"/>
            <w:tcBorders>
              <w:top w:val="nil"/>
              <w:left w:val="single" w:sz="8" w:space="0" w:color="A2A9B1"/>
              <w:bottom w:val="single" w:sz="8" w:space="0" w:color="A2A9B1"/>
              <w:right w:val="single" w:sz="8" w:space="0" w:color="A2A9B1"/>
            </w:tcBorders>
            <w:shd w:val="clear" w:color="000000" w:fill="F8F9FA"/>
            <w:vAlign w:val="center"/>
            <w:hideMark/>
          </w:tcPr>
          <w:p w:rsidR="00081227" w:rsidRPr="00081227" w:rsidRDefault="00B91259" w:rsidP="00081227">
            <w:pPr>
              <w:spacing w:after="0" w:line="240" w:lineRule="auto"/>
              <w:rPr>
                <w:rFonts w:ascii="Calibri" w:eastAsia="Times New Roman" w:hAnsi="Calibri" w:cs="Calibri"/>
                <w:color w:val="0000FF"/>
                <w:u w:val="single"/>
              </w:rPr>
            </w:pPr>
            <w:hyperlink r:id="rId11" w:anchor="cite_note-footnote1-15" w:history="1">
              <w:r w:rsidR="00081227" w:rsidRPr="00081227">
                <w:rPr>
                  <w:rFonts w:ascii="Calibri" w:eastAsia="Times New Roman" w:hAnsi="Calibri" w:cs="Calibri"/>
                  <w:color w:val="0000FF"/>
                  <w:u w:val="single"/>
                </w:rPr>
                <w:t xml:space="preserve">Vietnam Advisory Campaign[a] </w:t>
              </w:r>
            </w:hyperlink>
          </w:p>
        </w:tc>
        <w:tc>
          <w:tcPr>
            <w:tcW w:w="1420" w:type="dxa"/>
            <w:tcBorders>
              <w:top w:val="nil"/>
              <w:left w:val="nil"/>
              <w:bottom w:val="single" w:sz="8" w:space="0" w:color="A2A9B1"/>
              <w:right w:val="single" w:sz="8" w:space="0" w:color="A2A9B1"/>
            </w:tcBorders>
            <w:shd w:val="clear" w:color="000000" w:fill="F8F9FA"/>
            <w:vAlign w:val="center"/>
            <w:hideMark/>
          </w:tcPr>
          <w:p w:rsidR="00081227" w:rsidRPr="00081227" w:rsidRDefault="00081227" w:rsidP="00081227">
            <w:pPr>
              <w:spacing w:after="0" w:line="240" w:lineRule="auto"/>
              <w:jc w:val="right"/>
              <w:rPr>
                <w:rFonts w:ascii="Calibri" w:eastAsia="Times New Roman" w:hAnsi="Calibri" w:cs="Calibri"/>
                <w:color w:val="000000"/>
              </w:rPr>
            </w:pPr>
            <w:r w:rsidRPr="00081227">
              <w:rPr>
                <w:rFonts w:ascii="Calibri" w:eastAsia="Times New Roman" w:hAnsi="Calibri" w:cs="Calibri"/>
                <w:color w:val="000000"/>
              </w:rPr>
              <w:t>15-Mar-62</w:t>
            </w:r>
          </w:p>
        </w:tc>
        <w:tc>
          <w:tcPr>
            <w:tcW w:w="1680" w:type="dxa"/>
            <w:tcBorders>
              <w:top w:val="nil"/>
              <w:left w:val="nil"/>
              <w:bottom w:val="single" w:sz="8" w:space="0" w:color="A2A9B1"/>
              <w:right w:val="single" w:sz="8" w:space="0" w:color="A2A9B1"/>
            </w:tcBorders>
            <w:shd w:val="clear" w:color="000000" w:fill="F8F9FA"/>
            <w:vAlign w:val="center"/>
            <w:hideMark/>
          </w:tcPr>
          <w:p w:rsidR="00081227" w:rsidRPr="00081227" w:rsidRDefault="00081227" w:rsidP="00081227">
            <w:pPr>
              <w:spacing w:after="0" w:line="240" w:lineRule="auto"/>
              <w:jc w:val="right"/>
              <w:rPr>
                <w:rFonts w:ascii="Calibri" w:eastAsia="Times New Roman" w:hAnsi="Calibri" w:cs="Calibri"/>
                <w:color w:val="000000"/>
              </w:rPr>
            </w:pPr>
            <w:r w:rsidRPr="00081227">
              <w:rPr>
                <w:rFonts w:ascii="Calibri" w:eastAsia="Times New Roman" w:hAnsi="Calibri" w:cs="Calibri"/>
                <w:color w:val="000000"/>
              </w:rPr>
              <w:t>7-Mar-65</w:t>
            </w:r>
          </w:p>
        </w:tc>
      </w:tr>
      <w:tr w:rsidR="00081227" w:rsidRPr="00081227" w:rsidTr="00081227">
        <w:trPr>
          <w:trHeight w:val="315"/>
        </w:trPr>
        <w:tc>
          <w:tcPr>
            <w:tcW w:w="4240" w:type="dxa"/>
            <w:tcBorders>
              <w:top w:val="nil"/>
              <w:left w:val="single" w:sz="8" w:space="0" w:color="A2A9B1"/>
              <w:bottom w:val="single" w:sz="8" w:space="0" w:color="A2A9B1"/>
              <w:right w:val="single" w:sz="8" w:space="0" w:color="A2A9B1"/>
            </w:tcBorders>
            <w:shd w:val="clear" w:color="000000" w:fill="F8F9FA"/>
            <w:vAlign w:val="center"/>
            <w:hideMark/>
          </w:tcPr>
          <w:p w:rsidR="00081227" w:rsidRPr="00081227" w:rsidRDefault="00B91259" w:rsidP="00081227">
            <w:pPr>
              <w:spacing w:after="0" w:line="240" w:lineRule="auto"/>
              <w:rPr>
                <w:rFonts w:ascii="Calibri" w:eastAsia="Times New Roman" w:hAnsi="Calibri" w:cs="Calibri"/>
                <w:color w:val="0000FF"/>
                <w:u w:val="single"/>
              </w:rPr>
            </w:pPr>
            <w:hyperlink r:id="rId12" w:anchor="cite_note-footnote1-15" w:history="1">
              <w:r w:rsidR="00081227" w:rsidRPr="00081227">
                <w:rPr>
                  <w:rFonts w:ascii="Calibri" w:eastAsia="Times New Roman" w:hAnsi="Calibri" w:cs="Calibri"/>
                  <w:color w:val="0000FF"/>
                  <w:u w:val="single"/>
                </w:rPr>
                <w:t xml:space="preserve">Vietnam Defense Campaign[a] </w:t>
              </w:r>
            </w:hyperlink>
          </w:p>
        </w:tc>
        <w:tc>
          <w:tcPr>
            <w:tcW w:w="1420" w:type="dxa"/>
            <w:tcBorders>
              <w:top w:val="nil"/>
              <w:left w:val="nil"/>
              <w:bottom w:val="single" w:sz="8" w:space="0" w:color="A2A9B1"/>
              <w:right w:val="single" w:sz="8" w:space="0" w:color="A2A9B1"/>
            </w:tcBorders>
            <w:shd w:val="clear" w:color="000000" w:fill="F8F9FA"/>
            <w:vAlign w:val="center"/>
            <w:hideMark/>
          </w:tcPr>
          <w:p w:rsidR="00081227" w:rsidRPr="00081227" w:rsidRDefault="00081227" w:rsidP="00081227">
            <w:pPr>
              <w:spacing w:after="0" w:line="240" w:lineRule="auto"/>
              <w:jc w:val="right"/>
              <w:rPr>
                <w:rFonts w:ascii="Calibri" w:eastAsia="Times New Roman" w:hAnsi="Calibri" w:cs="Calibri"/>
                <w:color w:val="000000"/>
              </w:rPr>
            </w:pPr>
            <w:r w:rsidRPr="00081227">
              <w:rPr>
                <w:rFonts w:ascii="Calibri" w:eastAsia="Times New Roman" w:hAnsi="Calibri" w:cs="Calibri"/>
                <w:color w:val="000000"/>
              </w:rPr>
              <w:t>8-Mar-65</w:t>
            </w:r>
          </w:p>
        </w:tc>
        <w:tc>
          <w:tcPr>
            <w:tcW w:w="1680" w:type="dxa"/>
            <w:tcBorders>
              <w:top w:val="nil"/>
              <w:left w:val="nil"/>
              <w:bottom w:val="single" w:sz="8" w:space="0" w:color="A2A9B1"/>
              <w:right w:val="single" w:sz="8" w:space="0" w:color="A2A9B1"/>
            </w:tcBorders>
            <w:shd w:val="clear" w:color="000000" w:fill="F8F9FA"/>
            <w:vAlign w:val="center"/>
            <w:hideMark/>
          </w:tcPr>
          <w:p w:rsidR="00081227" w:rsidRPr="00081227" w:rsidRDefault="00081227" w:rsidP="00081227">
            <w:pPr>
              <w:spacing w:after="0" w:line="240" w:lineRule="auto"/>
              <w:jc w:val="right"/>
              <w:rPr>
                <w:rFonts w:ascii="Calibri" w:eastAsia="Times New Roman" w:hAnsi="Calibri" w:cs="Calibri"/>
                <w:color w:val="000000"/>
              </w:rPr>
            </w:pPr>
            <w:r w:rsidRPr="00081227">
              <w:rPr>
                <w:rFonts w:ascii="Calibri" w:eastAsia="Times New Roman" w:hAnsi="Calibri" w:cs="Calibri"/>
                <w:color w:val="000000"/>
              </w:rPr>
              <w:t>24-Dec-65</w:t>
            </w:r>
          </w:p>
        </w:tc>
      </w:tr>
      <w:tr w:rsidR="00081227" w:rsidRPr="00081227" w:rsidTr="00081227">
        <w:trPr>
          <w:trHeight w:val="315"/>
        </w:trPr>
        <w:tc>
          <w:tcPr>
            <w:tcW w:w="4240" w:type="dxa"/>
            <w:tcBorders>
              <w:top w:val="nil"/>
              <w:left w:val="single" w:sz="8" w:space="0" w:color="A2A9B1"/>
              <w:bottom w:val="single" w:sz="8" w:space="0" w:color="A2A9B1"/>
              <w:right w:val="single" w:sz="8" w:space="0" w:color="A2A9B1"/>
            </w:tcBorders>
            <w:shd w:val="clear" w:color="000000" w:fill="F8F9FA"/>
            <w:vAlign w:val="center"/>
            <w:hideMark/>
          </w:tcPr>
          <w:p w:rsidR="00081227" w:rsidRPr="00081227" w:rsidRDefault="00B91259" w:rsidP="00081227">
            <w:pPr>
              <w:spacing w:after="0" w:line="240" w:lineRule="auto"/>
              <w:rPr>
                <w:rFonts w:ascii="Calibri" w:eastAsia="Times New Roman" w:hAnsi="Calibri" w:cs="Calibri"/>
                <w:color w:val="0000FF"/>
                <w:u w:val="single"/>
              </w:rPr>
            </w:pPr>
            <w:hyperlink r:id="rId13" w:anchor="cite_note-footnote1-15" w:history="1">
              <w:r w:rsidR="00081227" w:rsidRPr="00081227">
                <w:rPr>
                  <w:rFonts w:ascii="Calibri" w:eastAsia="Times New Roman" w:hAnsi="Calibri" w:cs="Calibri"/>
                  <w:color w:val="0000FF"/>
                  <w:u w:val="single"/>
                </w:rPr>
                <w:t xml:space="preserve">Vietnam Counteroffensive.[a] </w:t>
              </w:r>
            </w:hyperlink>
          </w:p>
        </w:tc>
        <w:tc>
          <w:tcPr>
            <w:tcW w:w="1420" w:type="dxa"/>
            <w:tcBorders>
              <w:top w:val="nil"/>
              <w:left w:val="nil"/>
              <w:bottom w:val="single" w:sz="8" w:space="0" w:color="A2A9B1"/>
              <w:right w:val="single" w:sz="8" w:space="0" w:color="A2A9B1"/>
            </w:tcBorders>
            <w:shd w:val="clear" w:color="000000" w:fill="F8F9FA"/>
            <w:vAlign w:val="center"/>
            <w:hideMark/>
          </w:tcPr>
          <w:p w:rsidR="00081227" w:rsidRPr="00081227" w:rsidRDefault="00081227" w:rsidP="00081227">
            <w:pPr>
              <w:spacing w:after="0" w:line="240" w:lineRule="auto"/>
              <w:jc w:val="right"/>
              <w:rPr>
                <w:rFonts w:ascii="Calibri" w:eastAsia="Times New Roman" w:hAnsi="Calibri" w:cs="Calibri"/>
                <w:color w:val="000000"/>
              </w:rPr>
            </w:pPr>
            <w:r w:rsidRPr="00081227">
              <w:rPr>
                <w:rFonts w:ascii="Calibri" w:eastAsia="Times New Roman" w:hAnsi="Calibri" w:cs="Calibri"/>
                <w:color w:val="000000"/>
              </w:rPr>
              <w:t>25-Dec-65</w:t>
            </w:r>
          </w:p>
        </w:tc>
        <w:tc>
          <w:tcPr>
            <w:tcW w:w="1680" w:type="dxa"/>
            <w:tcBorders>
              <w:top w:val="nil"/>
              <w:left w:val="nil"/>
              <w:bottom w:val="single" w:sz="8" w:space="0" w:color="A2A9B1"/>
              <w:right w:val="single" w:sz="8" w:space="0" w:color="A2A9B1"/>
            </w:tcBorders>
            <w:shd w:val="clear" w:color="000000" w:fill="F8F9FA"/>
            <w:vAlign w:val="center"/>
            <w:hideMark/>
          </w:tcPr>
          <w:p w:rsidR="00081227" w:rsidRPr="00081227" w:rsidRDefault="00081227" w:rsidP="00081227">
            <w:pPr>
              <w:spacing w:after="0" w:line="240" w:lineRule="auto"/>
              <w:jc w:val="right"/>
              <w:rPr>
                <w:rFonts w:ascii="Calibri" w:eastAsia="Times New Roman" w:hAnsi="Calibri" w:cs="Calibri"/>
                <w:color w:val="000000"/>
              </w:rPr>
            </w:pPr>
            <w:r w:rsidRPr="00081227">
              <w:rPr>
                <w:rFonts w:ascii="Calibri" w:eastAsia="Times New Roman" w:hAnsi="Calibri" w:cs="Calibri"/>
                <w:color w:val="000000"/>
              </w:rPr>
              <w:t>30-Jun-66</w:t>
            </w:r>
          </w:p>
        </w:tc>
      </w:tr>
      <w:tr w:rsidR="00081227" w:rsidRPr="00081227" w:rsidTr="00081227">
        <w:trPr>
          <w:trHeight w:val="315"/>
        </w:trPr>
        <w:tc>
          <w:tcPr>
            <w:tcW w:w="4240" w:type="dxa"/>
            <w:tcBorders>
              <w:top w:val="nil"/>
              <w:left w:val="single" w:sz="8" w:space="0" w:color="A2A9B1"/>
              <w:bottom w:val="single" w:sz="8" w:space="0" w:color="A2A9B1"/>
              <w:right w:val="single" w:sz="8" w:space="0" w:color="A2A9B1"/>
            </w:tcBorders>
            <w:shd w:val="clear" w:color="000000" w:fill="F8F9FA"/>
            <w:vAlign w:val="center"/>
            <w:hideMark/>
          </w:tcPr>
          <w:p w:rsidR="00081227" w:rsidRPr="00081227" w:rsidRDefault="00B91259" w:rsidP="00081227">
            <w:pPr>
              <w:spacing w:after="0" w:line="240" w:lineRule="auto"/>
              <w:rPr>
                <w:rFonts w:ascii="Calibri" w:eastAsia="Times New Roman" w:hAnsi="Calibri" w:cs="Calibri"/>
                <w:color w:val="0000FF"/>
                <w:u w:val="single"/>
              </w:rPr>
            </w:pPr>
            <w:hyperlink r:id="rId14" w:anchor="cite_note-footnote1-15" w:history="1">
              <w:r w:rsidR="00081227" w:rsidRPr="00081227">
                <w:rPr>
                  <w:rFonts w:ascii="Calibri" w:eastAsia="Times New Roman" w:hAnsi="Calibri" w:cs="Calibri"/>
                  <w:color w:val="0000FF"/>
                  <w:u w:val="single"/>
                </w:rPr>
                <w:t xml:space="preserve">Vietnam Counteroffensive Phase II[a] </w:t>
              </w:r>
            </w:hyperlink>
          </w:p>
        </w:tc>
        <w:tc>
          <w:tcPr>
            <w:tcW w:w="1420" w:type="dxa"/>
            <w:tcBorders>
              <w:top w:val="nil"/>
              <w:left w:val="nil"/>
              <w:bottom w:val="single" w:sz="8" w:space="0" w:color="A2A9B1"/>
              <w:right w:val="single" w:sz="8" w:space="0" w:color="A2A9B1"/>
            </w:tcBorders>
            <w:shd w:val="clear" w:color="000000" w:fill="F8F9FA"/>
            <w:vAlign w:val="center"/>
            <w:hideMark/>
          </w:tcPr>
          <w:p w:rsidR="00081227" w:rsidRPr="00081227" w:rsidRDefault="00081227" w:rsidP="00081227">
            <w:pPr>
              <w:spacing w:after="0" w:line="240" w:lineRule="auto"/>
              <w:jc w:val="right"/>
              <w:rPr>
                <w:rFonts w:ascii="Calibri" w:eastAsia="Times New Roman" w:hAnsi="Calibri" w:cs="Calibri"/>
                <w:color w:val="000000"/>
              </w:rPr>
            </w:pPr>
            <w:r w:rsidRPr="00081227">
              <w:rPr>
                <w:rFonts w:ascii="Calibri" w:eastAsia="Times New Roman" w:hAnsi="Calibri" w:cs="Calibri"/>
                <w:color w:val="000000"/>
              </w:rPr>
              <w:t>1-Jul-66</w:t>
            </w:r>
          </w:p>
        </w:tc>
        <w:tc>
          <w:tcPr>
            <w:tcW w:w="1680" w:type="dxa"/>
            <w:tcBorders>
              <w:top w:val="nil"/>
              <w:left w:val="nil"/>
              <w:bottom w:val="single" w:sz="8" w:space="0" w:color="A2A9B1"/>
              <w:right w:val="single" w:sz="8" w:space="0" w:color="A2A9B1"/>
            </w:tcBorders>
            <w:shd w:val="clear" w:color="000000" w:fill="F8F9FA"/>
            <w:vAlign w:val="center"/>
            <w:hideMark/>
          </w:tcPr>
          <w:p w:rsidR="00081227" w:rsidRPr="00081227" w:rsidRDefault="00081227" w:rsidP="00081227">
            <w:pPr>
              <w:spacing w:after="0" w:line="240" w:lineRule="auto"/>
              <w:jc w:val="right"/>
              <w:rPr>
                <w:rFonts w:ascii="Calibri" w:eastAsia="Times New Roman" w:hAnsi="Calibri" w:cs="Calibri"/>
                <w:color w:val="000000"/>
              </w:rPr>
            </w:pPr>
            <w:r w:rsidRPr="00081227">
              <w:rPr>
                <w:rFonts w:ascii="Calibri" w:eastAsia="Times New Roman" w:hAnsi="Calibri" w:cs="Calibri"/>
                <w:color w:val="000000"/>
              </w:rPr>
              <w:t>31-May-67</w:t>
            </w:r>
          </w:p>
        </w:tc>
      </w:tr>
      <w:tr w:rsidR="00081227" w:rsidRPr="00081227" w:rsidTr="00081227">
        <w:trPr>
          <w:trHeight w:val="315"/>
        </w:trPr>
        <w:tc>
          <w:tcPr>
            <w:tcW w:w="4240" w:type="dxa"/>
            <w:tcBorders>
              <w:top w:val="nil"/>
              <w:left w:val="single" w:sz="8" w:space="0" w:color="A2A9B1"/>
              <w:bottom w:val="single" w:sz="8" w:space="0" w:color="A2A9B1"/>
              <w:right w:val="single" w:sz="8" w:space="0" w:color="A2A9B1"/>
            </w:tcBorders>
            <w:shd w:val="clear" w:color="000000" w:fill="F8F9FA"/>
            <w:vAlign w:val="center"/>
            <w:hideMark/>
          </w:tcPr>
          <w:p w:rsidR="00081227" w:rsidRPr="00081227" w:rsidRDefault="00B91259" w:rsidP="00081227">
            <w:pPr>
              <w:spacing w:after="0" w:line="240" w:lineRule="auto"/>
              <w:rPr>
                <w:rFonts w:ascii="Calibri" w:eastAsia="Times New Roman" w:hAnsi="Calibri" w:cs="Calibri"/>
                <w:color w:val="C00000"/>
                <w:u w:val="single"/>
              </w:rPr>
            </w:pPr>
            <w:hyperlink r:id="rId15" w:anchor="cite_note-footnote1-15" w:history="1">
              <w:r w:rsidR="00081227" w:rsidRPr="00081227">
                <w:rPr>
                  <w:rFonts w:ascii="Calibri" w:eastAsia="Times New Roman" w:hAnsi="Calibri" w:cs="Calibri"/>
                  <w:color w:val="C00000"/>
                  <w:u w:val="single"/>
                </w:rPr>
                <w:t xml:space="preserve">Vietnam Counteroffensive Phase III[a] </w:t>
              </w:r>
            </w:hyperlink>
          </w:p>
        </w:tc>
        <w:tc>
          <w:tcPr>
            <w:tcW w:w="1420" w:type="dxa"/>
            <w:tcBorders>
              <w:top w:val="nil"/>
              <w:left w:val="nil"/>
              <w:bottom w:val="single" w:sz="8" w:space="0" w:color="A2A9B1"/>
              <w:right w:val="single" w:sz="8" w:space="0" w:color="A2A9B1"/>
            </w:tcBorders>
            <w:shd w:val="clear" w:color="000000" w:fill="F8F9FA"/>
            <w:vAlign w:val="center"/>
            <w:hideMark/>
          </w:tcPr>
          <w:p w:rsidR="00081227" w:rsidRPr="00081227" w:rsidRDefault="00081227" w:rsidP="00081227">
            <w:pPr>
              <w:spacing w:after="0" w:line="240" w:lineRule="auto"/>
              <w:jc w:val="right"/>
              <w:rPr>
                <w:rFonts w:ascii="Calibri" w:eastAsia="Times New Roman" w:hAnsi="Calibri" w:cs="Calibri"/>
                <w:color w:val="C00000"/>
              </w:rPr>
            </w:pPr>
            <w:r w:rsidRPr="00081227">
              <w:rPr>
                <w:rFonts w:ascii="Calibri" w:eastAsia="Times New Roman" w:hAnsi="Calibri" w:cs="Calibri"/>
                <w:color w:val="C00000"/>
              </w:rPr>
              <w:t>1-Jun-67</w:t>
            </w:r>
          </w:p>
        </w:tc>
        <w:tc>
          <w:tcPr>
            <w:tcW w:w="1680" w:type="dxa"/>
            <w:tcBorders>
              <w:top w:val="nil"/>
              <w:left w:val="nil"/>
              <w:bottom w:val="single" w:sz="8" w:space="0" w:color="A2A9B1"/>
              <w:right w:val="single" w:sz="8" w:space="0" w:color="A2A9B1"/>
            </w:tcBorders>
            <w:shd w:val="clear" w:color="000000" w:fill="F8F9FA"/>
            <w:vAlign w:val="center"/>
            <w:hideMark/>
          </w:tcPr>
          <w:p w:rsidR="00081227" w:rsidRPr="00081227" w:rsidRDefault="00081227" w:rsidP="00081227">
            <w:pPr>
              <w:spacing w:after="0" w:line="240" w:lineRule="auto"/>
              <w:jc w:val="right"/>
              <w:rPr>
                <w:rFonts w:ascii="Calibri" w:eastAsia="Times New Roman" w:hAnsi="Calibri" w:cs="Calibri"/>
                <w:color w:val="C00000"/>
              </w:rPr>
            </w:pPr>
            <w:r w:rsidRPr="00081227">
              <w:rPr>
                <w:rFonts w:ascii="Calibri" w:eastAsia="Times New Roman" w:hAnsi="Calibri" w:cs="Calibri"/>
                <w:color w:val="C00000"/>
              </w:rPr>
              <w:t>29-Jan-68</w:t>
            </w:r>
          </w:p>
        </w:tc>
      </w:tr>
      <w:tr w:rsidR="00081227" w:rsidRPr="00081227" w:rsidTr="00081227">
        <w:trPr>
          <w:trHeight w:val="315"/>
        </w:trPr>
        <w:tc>
          <w:tcPr>
            <w:tcW w:w="4240" w:type="dxa"/>
            <w:tcBorders>
              <w:top w:val="nil"/>
              <w:left w:val="single" w:sz="8" w:space="0" w:color="A2A9B1"/>
              <w:bottom w:val="single" w:sz="8" w:space="0" w:color="A2A9B1"/>
              <w:right w:val="single" w:sz="8" w:space="0" w:color="A2A9B1"/>
            </w:tcBorders>
            <w:shd w:val="clear" w:color="000000" w:fill="F8F9FA"/>
            <w:vAlign w:val="center"/>
            <w:hideMark/>
          </w:tcPr>
          <w:p w:rsidR="00081227" w:rsidRPr="00081227" w:rsidRDefault="00B91259" w:rsidP="00081227">
            <w:pPr>
              <w:spacing w:after="0" w:line="240" w:lineRule="auto"/>
              <w:rPr>
                <w:rFonts w:ascii="Calibri" w:eastAsia="Times New Roman" w:hAnsi="Calibri" w:cs="Calibri"/>
                <w:color w:val="C00000"/>
                <w:u w:val="single"/>
              </w:rPr>
            </w:pPr>
            <w:hyperlink r:id="rId16" w:anchor="cite_note-footnote1-15" w:history="1">
              <w:proofErr w:type="spellStart"/>
              <w:r w:rsidR="00081227" w:rsidRPr="00081227">
                <w:rPr>
                  <w:rFonts w:ascii="Calibri" w:eastAsia="Times New Roman" w:hAnsi="Calibri" w:cs="Calibri"/>
                  <w:color w:val="C00000"/>
                  <w:u w:val="single"/>
                </w:rPr>
                <w:t>Tet</w:t>
              </w:r>
              <w:proofErr w:type="spellEnd"/>
              <w:r w:rsidR="00081227" w:rsidRPr="00081227">
                <w:rPr>
                  <w:rFonts w:ascii="Calibri" w:eastAsia="Times New Roman" w:hAnsi="Calibri" w:cs="Calibri"/>
                  <w:color w:val="C00000"/>
                  <w:u w:val="single"/>
                </w:rPr>
                <w:t xml:space="preserve"> Counteroffensive[a] </w:t>
              </w:r>
            </w:hyperlink>
          </w:p>
        </w:tc>
        <w:tc>
          <w:tcPr>
            <w:tcW w:w="1420" w:type="dxa"/>
            <w:tcBorders>
              <w:top w:val="nil"/>
              <w:left w:val="nil"/>
              <w:bottom w:val="single" w:sz="8" w:space="0" w:color="A2A9B1"/>
              <w:right w:val="single" w:sz="8" w:space="0" w:color="A2A9B1"/>
            </w:tcBorders>
            <w:shd w:val="clear" w:color="000000" w:fill="F8F9FA"/>
            <w:vAlign w:val="center"/>
            <w:hideMark/>
          </w:tcPr>
          <w:p w:rsidR="00081227" w:rsidRPr="00081227" w:rsidRDefault="00081227" w:rsidP="00081227">
            <w:pPr>
              <w:spacing w:after="0" w:line="240" w:lineRule="auto"/>
              <w:jc w:val="right"/>
              <w:rPr>
                <w:rFonts w:ascii="Calibri" w:eastAsia="Times New Roman" w:hAnsi="Calibri" w:cs="Calibri"/>
                <w:color w:val="C00000"/>
              </w:rPr>
            </w:pPr>
            <w:r w:rsidRPr="00081227">
              <w:rPr>
                <w:rFonts w:ascii="Calibri" w:eastAsia="Times New Roman" w:hAnsi="Calibri" w:cs="Calibri"/>
                <w:color w:val="C00000"/>
              </w:rPr>
              <w:t>30-Jan-68</w:t>
            </w:r>
          </w:p>
        </w:tc>
        <w:tc>
          <w:tcPr>
            <w:tcW w:w="1680" w:type="dxa"/>
            <w:tcBorders>
              <w:top w:val="nil"/>
              <w:left w:val="nil"/>
              <w:bottom w:val="single" w:sz="8" w:space="0" w:color="A2A9B1"/>
              <w:right w:val="single" w:sz="8" w:space="0" w:color="A2A9B1"/>
            </w:tcBorders>
            <w:shd w:val="clear" w:color="000000" w:fill="F8F9FA"/>
            <w:vAlign w:val="center"/>
            <w:hideMark/>
          </w:tcPr>
          <w:p w:rsidR="00081227" w:rsidRPr="00081227" w:rsidRDefault="00081227" w:rsidP="00081227">
            <w:pPr>
              <w:spacing w:after="0" w:line="240" w:lineRule="auto"/>
              <w:jc w:val="right"/>
              <w:rPr>
                <w:rFonts w:ascii="Calibri" w:eastAsia="Times New Roman" w:hAnsi="Calibri" w:cs="Calibri"/>
                <w:color w:val="C00000"/>
              </w:rPr>
            </w:pPr>
            <w:r w:rsidRPr="00081227">
              <w:rPr>
                <w:rFonts w:ascii="Calibri" w:eastAsia="Times New Roman" w:hAnsi="Calibri" w:cs="Calibri"/>
                <w:color w:val="C00000"/>
              </w:rPr>
              <w:t>1-Apr-68</w:t>
            </w:r>
          </w:p>
        </w:tc>
      </w:tr>
      <w:tr w:rsidR="00081227" w:rsidRPr="00081227" w:rsidTr="00081227">
        <w:trPr>
          <w:trHeight w:val="315"/>
        </w:trPr>
        <w:tc>
          <w:tcPr>
            <w:tcW w:w="4240" w:type="dxa"/>
            <w:tcBorders>
              <w:top w:val="nil"/>
              <w:left w:val="single" w:sz="8" w:space="0" w:color="A2A9B1"/>
              <w:bottom w:val="single" w:sz="8" w:space="0" w:color="A2A9B1"/>
              <w:right w:val="single" w:sz="8" w:space="0" w:color="A2A9B1"/>
            </w:tcBorders>
            <w:shd w:val="clear" w:color="000000" w:fill="F8F9FA"/>
            <w:vAlign w:val="center"/>
            <w:hideMark/>
          </w:tcPr>
          <w:p w:rsidR="00081227" w:rsidRPr="00081227" w:rsidRDefault="00B91259" w:rsidP="00081227">
            <w:pPr>
              <w:spacing w:after="0" w:line="240" w:lineRule="auto"/>
              <w:rPr>
                <w:rFonts w:ascii="Calibri" w:eastAsia="Times New Roman" w:hAnsi="Calibri" w:cs="Calibri"/>
                <w:color w:val="C00000"/>
                <w:u w:val="single"/>
              </w:rPr>
            </w:pPr>
            <w:hyperlink r:id="rId17" w:anchor="cite_note-footnote1-15" w:history="1">
              <w:r w:rsidR="00081227" w:rsidRPr="00081227">
                <w:rPr>
                  <w:rFonts w:ascii="Calibri" w:eastAsia="Times New Roman" w:hAnsi="Calibri" w:cs="Calibri"/>
                  <w:color w:val="C00000"/>
                  <w:u w:val="single"/>
                </w:rPr>
                <w:t xml:space="preserve">Vietnam Counteroffensive Phase IV[a] </w:t>
              </w:r>
            </w:hyperlink>
          </w:p>
        </w:tc>
        <w:tc>
          <w:tcPr>
            <w:tcW w:w="1420" w:type="dxa"/>
            <w:tcBorders>
              <w:top w:val="nil"/>
              <w:left w:val="nil"/>
              <w:bottom w:val="single" w:sz="8" w:space="0" w:color="A2A9B1"/>
              <w:right w:val="single" w:sz="8" w:space="0" w:color="A2A9B1"/>
            </w:tcBorders>
            <w:shd w:val="clear" w:color="000000" w:fill="F8F9FA"/>
            <w:vAlign w:val="center"/>
            <w:hideMark/>
          </w:tcPr>
          <w:p w:rsidR="00081227" w:rsidRPr="00081227" w:rsidRDefault="00081227" w:rsidP="00081227">
            <w:pPr>
              <w:spacing w:after="0" w:line="240" w:lineRule="auto"/>
              <w:jc w:val="right"/>
              <w:rPr>
                <w:rFonts w:ascii="Calibri" w:eastAsia="Times New Roman" w:hAnsi="Calibri" w:cs="Calibri"/>
                <w:color w:val="C00000"/>
              </w:rPr>
            </w:pPr>
            <w:r w:rsidRPr="00081227">
              <w:rPr>
                <w:rFonts w:ascii="Calibri" w:eastAsia="Times New Roman" w:hAnsi="Calibri" w:cs="Calibri"/>
                <w:color w:val="C00000"/>
              </w:rPr>
              <w:t>2-Apr-68</w:t>
            </w:r>
          </w:p>
        </w:tc>
        <w:tc>
          <w:tcPr>
            <w:tcW w:w="1680" w:type="dxa"/>
            <w:tcBorders>
              <w:top w:val="nil"/>
              <w:left w:val="nil"/>
              <w:bottom w:val="single" w:sz="8" w:space="0" w:color="A2A9B1"/>
              <w:right w:val="single" w:sz="8" w:space="0" w:color="A2A9B1"/>
            </w:tcBorders>
            <w:shd w:val="clear" w:color="000000" w:fill="F8F9FA"/>
            <w:vAlign w:val="center"/>
            <w:hideMark/>
          </w:tcPr>
          <w:p w:rsidR="00081227" w:rsidRPr="00081227" w:rsidRDefault="00081227" w:rsidP="00081227">
            <w:pPr>
              <w:spacing w:after="0" w:line="240" w:lineRule="auto"/>
              <w:jc w:val="right"/>
              <w:rPr>
                <w:rFonts w:ascii="Calibri" w:eastAsia="Times New Roman" w:hAnsi="Calibri" w:cs="Calibri"/>
                <w:color w:val="C00000"/>
              </w:rPr>
            </w:pPr>
            <w:r w:rsidRPr="00081227">
              <w:rPr>
                <w:rFonts w:ascii="Calibri" w:eastAsia="Times New Roman" w:hAnsi="Calibri" w:cs="Calibri"/>
                <w:color w:val="C00000"/>
              </w:rPr>
              <w:t>30-Jun-68</w:t>
            </w:r>
          </w:p>
        </w:tc>
      </w:tr>
      <w:tr w:rsidR="00081227" w:rsidRPr="00081227" w:rsidTr="00081227">
        <w:trPr>
          <w:trHeight w:val="315"/>
        </w:trPr>
        <w:tc>
          <w:tcPr>
            <w:tcW w:w="4240" w:type="dxa"/>
            <w:tcBorders>
              <w:top w:val="nil"/>
              <w:left w:val="single" w:sz="8" w:space="0" w:color="A2A9B1"/>
              <w:bottom w:val="single" w:sz="8" w:space="0" w:color="A2A9B1"/>
              <w:right w:val="single" w:sz="8" w:space="0" w:color="A2A9B1"/>
            </w:tcBorders>
            <w:shd w:val="clear" w:color="000000" w:fill="F8F9FA"/>
            <w:vAlign w:val="center"/>
            <w:hideMark/>
          </w:tcPr>
          <w:p w:rsidR="00081227" w:rsidRPr="00081227" w:rsidRDefault="00B91259" w:rsidP="00081227">
            <w:pPr>
              <w:spacing w:after="0" w:line="240" w:lineRule="auto"/>
              <w:rPr>
                <w:rFonts w:ascii="Calibri" w:eastAsia="Times New Roman" w:hAnsi="Calibri" w:cs="Calibri"/>
                <w:color w:val="0000FF"/>
                <w:u w:val="single"/>
              </w:rPr>
            </w:pPr>
            <w:hyperlink r:id="rId18" w:anchor="cite_note-footnote1-15" w:history="1">
              <w:r w:rsidR="00081227" w:rsidRPr="00081227">
                <w:rPr>
                  <w:rFonts w:ascii="Calibri" w:eastAsia="Times New Roman" w:hAnsi="Calibri" w:cs="Calibri"/>
                  <w:color w:val="0000FF"/>
                  <w:u w:val="single"/>
                </w:rPr>
                <w:t xml:space="preserve">Vietnam Counteroffensive Phase V[a] </w:t>
              </w:r>
            </w:hyperlink>
          </w:p>
        </w:tc>
        <w:tc>
          <w:tcPr>
            <w:tcW w:w="1420" w:type="dxa"/>
            <w:tcBorders>
              <w:top w:val="nil"/>
              <w:left w:val="nil"/>
              <w:bottom w:val="single" w:sz="8" w:space="0" w:color="A2A9B1"/>
              <w:right w:val="single" w:sz="8" w:space="0" w:color="A2A9B1"/>
            </w:tcBorders>
            <w:shd w:val="clear" w:color="000000" w:fill="F8F9FA"/>
            <w:vAlign w:val="center"/>
            <w:hideMark/>
          </w:tcPr>
          <w:p w:rsidR="00081227" w:rsidRPr="00081227" w:rsidRDefault="00081227" w:rsidP="00081227">
            <w:pPr>
              <w:spacing w:after="0" w:line="240" w:lineRule="auto"/>
              <w:jc w:val="right"/>
              <w:rPr>
                <w:rFonts w:ascii="Calibri" w:eastAsia="Times New Roman" w:hAnsi="Calibri" w:cs="Calibri"/>
                <w:color w:val="000000"/>
              </w:rPr>
            </w:pPr>
            <w:r w:rsidRPr="00081227">
              <w:rPr>
                <w:rFonts w:ascii="Calibri" w:eastAsia="Times New Roman" w:hAnsi="Calibri" w:cs="Calibri"/>
                <w:color w:val="000000"/>
              </w:rPr>
              <w:t>1-Jul-68</w:t>
            </w:r>
          </w:p>
        </w:tc>
        <w:tc>
          <w:tcPr>
            <w:tcW w:w="1680" w:type="dxa"/>
            <w:tcBorders>
              <w:top w:val="nil"/>
              <w:left w:val="nil"/>
              <w:bottom w:val="single" w:sz="8" w:space="0" w:color="A2A9B1"/>
              <w:right w:val="single" w:sz="8" w:space="0" w:color="A2A9B1"/>
            </w:tcBorders>
            <w:shd w:val="clear" w:color="000000" w:fill="F8F9FA"/>
            <w:vAlign w:val="center"/>
            <w:hideMark/>
          </w:tcPr>
          <w:p w:rsidR="00081227" w:rsidRPr="00081227" w:rsidRDefault="00081227" w:rsidP="00081227">
            <w:pPr>
              <w:spacing w:after="0" w:line="240" w:lineRule="auto"/>
              <w:jc w:val="right"/>
              <w:rPr>
                <w:rFonts w:ascii="Calibri" w:eastAsia="Times New Roman" w:hAnsi="Calibri" w:cs="Calibri"/>
                <w:color w:val="000000"/>
              </w:rPr>
            </w:pPr>
            <w:r w:rsidRPr="00081227">
              <w:rPr>
                <w:rFonts w:ascii="Calibri" w:eastAsia="Times New Roman" w:hAnsi="Calibri" w:cs="Calibri"/>
                <w:color w:val="000000"/>
              </w:rPr>
              <w:t>1-Nov-68</w:t>
            </w:r>
          </w:p>
        </w:tc>
      </w:tr>
      <w:tr w:rsidR="00081227" w:rsidRPr="00081227" w:rsidTr="00081227">
        <w:trPr>
          <w:trHeight w:val="315"/>
        </w:trPr>
        <w:tc>
          <w:tcPr>
            <w:tcW w:w="4240" w:type="dxa"/>
            <w:tcBorders>
              <w:top w:val="nil"/>
              <w:left w:val="single" w:sz="8" w:space="0" w:color="A2A9B1"/>
              <w:bottom w:val="single" w:sz="8" w:space="0" w:color="A2A9B1"/>
              <w:right w:val="single" w:sz="8" w:space="0" w:color="A2A9B1"/>
            </w:tcBorders>
            <w:shd w:val="clear" w:color="000000" w:fill="F8F9FA"/>
            <w:vAlign w:val="center"/>
            <w:hideMark/>
          </w:tcPr>
          <w:p w:rsidR="00081227" w:rsidRPr="00081227" w:rsidRDefault="00B91259" w:rsidP="00081227">
            <w:pPr>
              <w:spacing w:after="0" w:line="240" w:lineRule="auto"/>
              <w:rPr>
                <w:rFonts w:ascii="Calibri" w:eastAsia="Times New Roman" w:hAnsi="Calibri" w:cs="Calibri"/>
                <w:color w:val="0000FF"/>
                <w:u w:val="single"/>
              </w:rPr>
            </w:pPr>
            <w:hyperlink r:id="rId19" w:anchor="cite_note-footnote1-15" w:history="1">
              <w:r w:rsidR="00081227" w:rsidRPr="00081227">
                <w:rPr>
                  <w:rFonts w:ascii="Calibri" w:eastAsia="Times New Roman" w:hAnsi="Calibri" w:cs="Calibri"/>
                  <w:color w:val="0000FF"/>
                  <w:u w:val="single"/>
                </w:rPr>
                <w:t xml:space="preserve">Vietnam Counteroffensive Phase VI[a] </w:t>
              </w:r>
            </w:hyperlink>
          </w:p>
        </w:tc>
        <w:tc>
          <w:tcPr>
            <w:tcW w:w="1420" w:type="dxa"/>
            <w:tcBorders>
              <w:top w:val="nil"/>
              <w:left w:val="nil"/>
              <w:bottom w:val="single" w:sz="8" w:space="0" w:color="A2A9B1"/>
              <w:right w:val="single" w:sz="8" w:space="0" w:color="A2A9B1"/>
            </w:tcBorders>
            <w:shd w:val="clear" w:color="000000" w:fill="F8F9FA"/>
            <w:vAlign w:val="center"/>
            <w:hideMark/>
          </w:tcPr>
          <w:p w:rsidR="00081227" w:rsidRPr="00081227" w:rsidRDefault="00081227" w:rsidP="00081227">
            <w:pPr>
              <w:spacing w:after="0" w:line="240" w:lineRule="auto"/>
              <w:jc w:val="right"/>
              <w:rPr>
                <w:rFonts w:ascii="Calibri" w:eastAsia="Times New Roman" w:hAnsi="Calibri" w:cs="Calibri"/>
                <w:color w:val="000000"/>
              </w:rPr>
            </w:pPr>
            <w:r w:rsidRPr="00081227">
              <w:rPr>
                <w:rFonts w:ascii="Calibri" w:eastAsia="Times New Roman" w:hAnsi="Calibri" w:cs="Calibri"/>
                <w:color w:val="000000"/>
              </w:rPr>
              <w:t>2-Nov-68</w:t>
            </w:r>
          </w:p>
        </w:tc>
        <w:tc>
          <w:tcPr>
            <w:tcW w:w="1680" w:type="dxa"/>
            <w:tcBorders>
              <w:top w:val="nil"/>
              <w:left w:val="nil"/>
              <w:bottom w:val="single" w:sz="8" w:space="0" w:color="A2A9B1"/>
              <w:right w:val="single" w:sz="8" w:space="0" w:color="A2A9B1"/>
            </w:tcBorders>
            <w:shd w:val="clear" w:color="000000" w:fill="F8F9FA"/>
            <w:vAlign w:val="center"/>
            <w:hideMark/>
          </w:tcPr>
          <w:p w:rsidR="00081227" w:rsidRPr="00081227" w:rsidRDefault="00081227" w:rsidP="00081227">
            <w:pPr>
              <w:spacing w:after="0" w:line="240" w:lineRule="auto"/>
              <w:jc w:val="right"/>
              <w:rPr>
                <w:rFonts w:ascii="Calibri" w:eastAsia="Times New Roman" w:hAnsi="Calibri" w:cs="Calibri"/>
                <w:color w:val="000000"/>
              </w:rPr>
            </w:pPr>
            <w:r w:rsidRPr="00081227">
              <w:rPr>
                <w:rFonts w:ascii="Calibri" w:eastAsia="Times New Roman" w:hAnsi="Calibri" w:cs="Calibri"/>
                <w:color w:val="000000"/>
              </w:rPr>
              <w:t>22-Feb-69</w:t>
            </w:r>
          </w:p>
        </w:tc>
      </w:tr>
      <w:tr w:rsidR="00081227" w:rsidRPr="00081227" w:rsidTr="00081227">
        <w:trPr>
          <w:trHeight w:val="360"/>
        </w:trPr>
        <w:tc>
          <w:tcPr>
            <w:tcW w:w="4240" w:type="dxa"/>
            <w:tcBorders>
              <w:top w:val="nil"/>
              <w:left w:val="single" w:sz="8" w:space="0" w:color="A2A9B1"/>
              <w:bottom w:val="single" w:sz="8" w:space="0" w:color="A2A9B1"/>
              <w:right w:val="single" w:sz="8" w:space="0" w:color="A2A9B1"/>
            </w:tcBorders>
            <w:shd w:val="clear" w:color="000000" w:fill="F8F9FA"/>
            <w:vAlign w:val="center"/>
            <w:hideMark/>
          </w:tcPr>
          <w:p w:rsidR="00081227" w:rsidRPr="00081227" w:rsidRDefault="00081227" w:rsidP="00081227">
            <w:pPr>
              <w:spacing w:after="0" w:line="240" w:lineRule="auto"/>
              <w:rPr>
                <w:rFonts w:ascii="Calibri" w:eastAsia="Times New Roman" w:hAnsi="Calibri" w:cs="Calibri"/>
                <w:color w:val="000000"/>
              </w:rPr>
            </w:pPr>
            <w:proofErr w:type="spellStart"/>
            <w:r w:rsidRPr="00081227">
              <w:rPr>
                <w:rFonts w:ascii="Calibri" w:eastAsia="Times New Roman" w:hAnsi="Calibri" w:cs="Calibri"/>
                <w:color w:val="000000"/>
              </w:rPr>
              <w:t>Tet</w:t>
            </w:r>
            <w:proofErr w:type="spellEnd"/>
            <w:r w:rsidRPr="00081227">
              <w:rPr>
                <w:rFonts w:ascii="Calibri" w:eastAsia="Times New Roman" w:hAnsi="Calibri" w:cs="Calibri"/>
                <w:color w:val="000000"/>
              </w:rPr>
              <w:t xml:space="preserve"> 69 Counteroffensive</w:t>
            </w:r>
            <w:r w:rsidRPr="00081227">
              <w:rPr>
                <w:rFonts w:ascii="Calibri" w:eastAsia="Times New Roman" w:hAnsi="Calibri" w:cs="Calibri"/>
                <w:vertAlign w:val="superscript"/>
              </w:rPr>
              <w:t>[b][a]</w:t>
            </w:r>
            <w:r w:rsidRPr="00081227">
              <w:rPr>
                <w:rFonts w:ascii="Calibri" w:eastAsia="Times New Roman" w:hAnsi="Calibri" w:cs="Calibri"/>
                <w:color w:val="000000"/>
              </w:rPr>
              <w:t xml:space="preserve"> </w:t>
            </w:r>
          </w:p>
        </w:tc>
        <w:tc>
          <w:tcPr>
            <w:tcW w:w="1420" w:type="dxa"/>
            <w:tcBorders>
              <w:top w:val="nil"/>
              <w:left w:val="nil"/>
              <w:bottom w:val="single" w:sz="8" w:space="0" w:color="A2A9B1"/>
              <w:right w:val="single" w:sz="8" w:space="0" w:color="A2A9B1"/>
            </w:tcBorders>
            <w:shd w:val="clear" w:color="000000" w:fill="F8F9FA"/>
            <w:vAlign w:val="center"/>
            <w:hideMark/>
          </w:tcPr>
          <w:p w:rsidR="00081227" w:rsidRPr="00081227" w:rsidRDefault="00081227" w:rsidP="00081227">
            <w:pPr>
              <w:spacing w:after="0" w:line="240" w:lineRule="auto"/>
              <w:jc w:val="right"/>
              <w:rPr>
                <w:rFonts w:ascii="Calibri" w:eastAsia="Times New Roman" w:hAnsi="Calibri" w:cs="Calibri"/>
                <w:color w:val="000000"/>
              </w:rPr>
            </w:pPr>
            <w:r w:rsidRPr="00081227">
              <w:rPr>
                <w:rFonts w:ascii="Calibri" w:eastAsia="Times New Roman" w:hAnsi="Calibri" w:cs="Calibri"/>
                <w:color w:val="000000"/>
              </w:rPr>
              <w:t>23-Feb-69</w:t>
            </w:r>
          </w:p>
        </w:tc>
        <w:tc>
          <w:tcPr>
            <w:tcW w:w="1680" w:type="dxa"/>
            <w:tcBorders>
              <w:top w:val="nil"/>
              <w:left w:val="nil"/>
              <w:bottom w:val="single" w:sz="8" w:space="0" w:color="A2A9B1"/>
              <w:right w:val="single" w:sz="8" w:space="0" w:color="A2A9B1"/>
            </w:tcBorders>
            <w:shd w:val="clear" w:color="000000" w:fill="F8F9FA"/>
            <w:vAlign w:val="center"/>
            <w:hideMark/>
          </w:tcPr>
          <w:p w:rsidR="00081227" w:rsidRPr="00081227" w:rsidRDefault="00081227" w:rsidP="00081227">
            <w:pPr>
              <w:spacing w:after="0" w:line="240" w:lineRule="auto"/>
              <w:jc w:val="right"/>
              <w:rPr>
                <w:rFonts w:ascii="Calibri" w:eastAsia="Times New Roman" w:hAnsi="Calibri" w:cs="Calibri"/>
                <w:color w:val="000000"/>
              </w:rPr>
            </w:pPr>
            <w:r w:rsidRPr="00081227">
              <w:rPr>
                <w:rFonts w:ascii="Calibri" w:eastAsia="Times New Roman" w:hAnsi="Calibri" w:cs="Calibri"/>
                <w:color w:val="000000"/>
              </w:rPr>
              <w:t>8-Jun-69</w:t>
            </w:r>
          </w:p>
        </w:tc>
      </w:tr>
      <w:tr w:rsidR="00081227" w:rsidRPr="00081227" w:rsidTr="00081227">
        <w:trPr>
          <w:trHeight w:val="360"/>
        </w:trPr>
        <w:tc>
          <w:tcPr>
            <w:tcW w:w="4240" w:type="dxa"/>
            <w:tcBorders>
              <w:top w:val="nil"/>
              <w:left w:val="single" w:sz="8" w:space="0" w:color="A2A9B1"/>
              <w:bottom w:val="single" w:sz="8" w:space="0" w:color="A2A9B1"/>
              <w:right w:val="single" w:sz="8" w:space="0" w:color="A2A9B1"/>
            </w:tcBorders>
            <w:shd w:val="clear" w:color="000000" w:fill="F8F9FA"/>
            <w:vAlign w:val="center"/>
            <w:hideMark/>
          </w:tcPr>
          <w:p w:rsidR="00081227" w:rsidRPr="00081227" w:rsidRDefault="00081227" w:rsidP="00081227">
            <w:pPr>
              <w:spacing w:after="0" w:line="240" w:lineRule="auto"/>
              <w:rPr>
                <w:rFonts w:ascii="Calibri" w:eastAsia="Times New Roman" w:hAnsi="Calibri" w:cs="Calibri"/>
                <w:color w:val="000000"/>
              </w:rPr>
            </w:pPr>
            <w:r w:rsidRPr="00081227">
              <w:rPr>
                <w:rFonts w:ascii="Calibri" w:eastAsia="Times New Roman" w:hAnsi="Calibri" w:cs="Calibri"/>
                <w:color w:val="000000"/>
              </w:rPr>
              <w:t>Vietnam Summer–Fall 1969</w:t>
            </w:r>
            <w:r w:rsidRPr="00081227">
              <w:rPr>
                <w:rFonts w:ascii="Calibri" w:eastAsia="Times New Roman" w:hAnsi="Calibri" w:cs="Calibri"/>
                <w:vertAlign w:val="superscript"/>
              </w:rPr>
              <w:t>[b][a]</w:t>
            </w:r>
            <w:r w:rsidRPr="00081227">
              <w:rPr>
                <w:rFonts w:ascii="Calibri" w:eastAsia="Times New Roman" w:hAnsi="Calibri" w:cs="Calibri"/>
                <w:color w:val="000000"/>
              </w:rPr>
              <w:t xml:space="preserve"> </w:t>
            </w:r>
          </w:p>
        </w:tc>
        <w:tc>
          <w:tcPr>
            <w:tcW w:w="1420" w:type="dxa"/>
            <w:tcBorders>
              <w:top w:val="nil"/>
              <w:left w:val="nil"/>
              <w:bottom w:val="single" w:sz="8" w:space="0" w:color="A2A9B1"/>
              <w:right w:val="single" w:sz="8" w:space="0" w:color="A2A9B1"/>
            </w:tcBorders>
            <w:shd w:val="clear" w:color="000000" w:fill="F8F9FA"/>
            <w:vAlign w:val="center"/>
            <w:hideMark/>
          </w:tcPr>
          <w:p w:rsidR="00081227" w:rsidRPr="00081227" w:rsidRDefault="00081227" w:rsidP="00081227">
            <w:pPr>
              <w:spacing w:after="0" w:line="240" w:lineRule="auto"/>
              <w:jc w:val="right"/>
              <w:rPr>
                <w:rFonts w:ascii="Calibri" w:eastAsia="Times New Roman" w:hAnsi="Calibri" w:cs="Calibri"/>
                <w:color w:val="000000"/>
              </w:rPr>
            </w:pPr>
            <w:r w:rsidRPr="00081227">
              <w:rPr>
                <w:rFonts w:ascii="Calibri" w:eastAsia="Times New Roman" w:hAnsi="Calibri" w:cs="Calibri"/>
                <w:color w:val="000000"/>
              </w:rPr>
              <w:t>9-Jun-69</w:t>
            </w:r>
          </w:p>
        </w:tc>
        <w:tc>
          <w:tcPr>
            <w:tcW w:w="1680" w:type="dxa"/>
            <w:tcBorders>
              <w:top w:val="nil"/>
              <w:left w:val="nil"/>
              <w:bottom w:val="single" w:sz="8" w:space="0" w:color="A2A9B1"/>
              <w:right w:val="single" w:sz="8" w:space="0" w:color="A2A9B1"/>
            </w:tcBorders>
            <w:shd w:val="clear" w:color="000000" w:fill="F8F9FA"/>
            <w:vAlign w:val="center"/>
            <w:hideMark/>
          </w:tcPr>
          <w:p w:rsidR="00081227" w:rsidRPr="00081227" w:rsidRDefault="00081227" w:rsidP="00081227">
            <w:pPr>
              <w:spacing w:after="0" w:line="240" w:lineRule="auto"/>
              <w:jc w:val="right"/>
              <w:rPr>
                <w:rFonts w:ascii="Calibri" w:eastAsia="Times New Roman" w:hAnsi="Calibri" w:cs="Calibri"/>
                <w:color w:val="000000"/>
              </w:rPr>
            </w:pPr>
            <w:r w:rsidRPr="00081227">
              <w:rPr>
                <w:rFonts w:ascii="Calibri" w:eastAsia="Times New Roman" w:hAnsi="Calibri" w:cs="Calibri"/>
                <w:color w:val="000000"/>
              </w:rPr>
              <w:t>31-Oct-69</w:t>
            </w:r>
          </w:p>
        </w:tc>
      </w:tr>
      <w:tr w:rsidR="00081227" w:rsidRPr="00081227" w:rsidTr="00081227">
        <w:trPr>
          <w:trHeight w:val="360"/>
        </w:trPr>
        <w:tc>
          <w:tcPr>
            <w:tcW w:w="4240" w:type="dxa"/>
            <w:tcBorders>
              <w:top w:val="nil"/>
              <w:left w:val="single" w:sz="8" w:space="0" w:color="A2A9B1"/>
              <w:bottom w:val="single" w:sz="8" w:space="0" w:color="A2A9B1"/>
              <w:right w:val="single" w:sz="8" w:space="0" w:color="A2A9B1"/>
            </w:tcBorders>
            <w:shd w:val="clear" w:color="000000" w:fill="F8F9FA"/>
            <w:vAlign w:val="center"/>
            <w:hideMark/>
          </w:tcPr>
          <w:p w:rsidR="00081227" w:rsidRPr="00081227" w:rsidRDefault="00081227" w:rsidP="00081227">
            <w:pPr>
              <w:spacing w:after="0" w:line="240" w:lineRule="auto"/>
              <w:rPr>
                <w:rFonts w:ascii="Calibri" w:eastAsia="Times New Roman" w:hAnsi="Calibri" w:cs="Calibri"/>
                <w:color w:val="000000"/>
              </w:rPr>
            </w:pPr>
            <w:r w:rsidRPr="00081227">
              <w:rPr>
                <w:rFonts w:ascii="Calibri" w:eastAsia="Times New Roman" w:hAnsi="Calibri" w:cs="Calibri"/>
                <w:color w:val="000000"/>
              </w:rPr>
              <w:t>Vietnam Winter–Spring 1970</w:t>
            </w:r>
            <w:r w:rsidRPr="00081227">
              <w:rPr>
                <w:rFonts w:ascii="Calibri" w:eastAsia="Times New Roman" w:hAnsi="Calibri" w:cs="Calibri"/>
                <w:vertAlign w:val="superscript"/>
              </w:rPr>
              <w:t>[b][a]</w:t>
            </w:r>
            <w:r w:rsidRPr="00081227">
              <w:rPr>
                <w:rFonts w:ascii="Calibri" w:eastAsia="Times New Roman" w:hAnsi="Calibri" w:cs="Calibri"/>
                <w:color w:val="000000"/>
              </w:rPr>
              <w:t xml:space="preserve"> </w:t>
            </w:r>
          </w:p>
        </w:tc>
        <w:tc>
          <w:tcPr>
            <w:tcW w:w="1420" w:type="dxa"/>
            <w:tcBorders>
              <w:top w:val="nil"/>
              <w:left w:val="nil"/>
              <w:bottom w:val="single" w:sz="8" w:space="0" w:color="A2A9B1"/>
              <w:right w:val="single" w:sz="8" w:space="0" w:color="A2A9B1"/>
            </w:tcBorders>
            <w:shd w:val="clear" w:color="000000" w:fill="F8F9FA"/>
            <w:vAlign w:val="center"/>
            <w:hideMark/>
          </w:tcPr>
          <w:p w:rsidR="00081227" w:rsidRPr="00081227" w:rsidRDefault="00081227" w:rsidP="00081227">
            <w:pPr>
              <w:spacing w:after="0" w:line="240" w:lineRule="auto"/>
              <w:jc w:val="right"/>
              <w:rPr>
                <w:rFonts w:ascii="Calibri" w:eastAsia="Times New Roman" w:hAnsi="Calibri" w:cs="Calibri"/>
                <w:color w:val="000000"/>
              </w:rPr>
            </w:pPr>
            <w:r w:rsidRPr="00081227">
              <w:rPr>
                <w:rFonts w:ascii="Calibri" w:eastAsia="Times New Roman" w:hAnsi="Calibri" w:cs="Calibri"/>
                <w:color w:val="000000"/>
              </w:rPr>
              <w:t>1-Nov-69</w:t>
            </w:r>
          </w:p>
        </w:tc>
        <w:tc>
          <w:tcPr>
            <w:tcW w:w="1680" w:type="dxa"/>
            <w:tcBorders>
              <w:top w:val="nil"/>
              <w:left w:val="nil"/>
              <w:bottom w:val="single" w:sz="8" w:space="0" w:color="A2A9B1"/>
              <w:right w:val="single" w:sz="8" w:space="0" w:color="A2A9B1"/>
            </w:tcBorders>
            <w:shd w:val="clear" w:color="000000" w:fill="F8F9FA"/>
            <w:vAlign w:val="center"/>
            <w:hideMark/>
          </w:tcPr>
          <w:p w:rsidR="00081227" w:rsidRPr="00081227" w:rsidRDefault="00081227" w:rsidP="00081227">
            <w:pPr>
              <w:spacing w:after="0" w:line="240" w:lineRule="auto"/>
              <w:jc w:val="right"/>
              <w:rPr>
                <w:rFonts w:ascii="Calibri" w:eastAsia="Times New Roman" w:hAnsi="Calibri" w:cs="Calibri"/>
                <w:color w:val="000000"/>
              </w:rPr>
            </w:pPr>
            <w:r w:rsidRPr="00081227">
              <w:rPr>
                <w:rFonts w:ascii="Calibri" w:eastAsia="Times New Roman" w:hAnsi="Calibri" w:cs="Calibri"/>
                <w:color w:val="000000"/>
              </w:rPr>
              <w:t>30-Apr-70</w:t>
            </w:r>
          </w:p>
        </w:tc>
      </w:tr>
      <w:tr w:rsidR="00081227" w:rsidRPr="00081227" w:rsidTr="00081227">
        <w:trPr>
          <w:trHeight w:val="360"/>
        </w:trPr>
        <w:tc>
          <w:tcPr>
            <w:tcW w:w="4240" w:type="dxa"/>
            <w:tcBorders>
              <w:top w:val="nil"/>
              <w:left w:val="single" w:sz="8" w:space="0" w:color="A2A9B1"/>
              <w:bottom w:val="single" w:sz="8" w:space="0" w:color="A2A9B1"/>
              <w:right w:val="single" w:sz="8" w:space="0" w:color="A2A9B1"/>
            </w:tcBorders>
            <w:shd w:val="clear" w:color="000000" w:fill="F8F9FA"/>
            <w:vAlign w:val="center"/>
            <w:hideMark/>
          </w:tcPr>
          <w:p w:rsidR="00081227" w:rsidRPr="00081227" w:rsidRDefault="00081227" w:rsidP="00081227">
            <w:pPr>
              <w:spacing w:after="0" w:line="240" w:lineRule="auto"/>
              <w:rPr>
                <w:rFonts w:ascii="Calibri" w:eastAsia="Times New Roman" w:hAnsi="Calibri" w:cs="Calibri"/>
                <w:color w:val="000000"/>
              </w:rPr>
            </w:pPr>
            <w:r w:rsidRPr="00081227">
              <w:rPr>
                <w:rFonts w:ascii="Calibri" w:eastAsia="Times New Roman" w:hAnsi="Calibri" w:cs="Calibri"/>
                <w:color w:val="000000"/>
              </w:rPr>
              <w:t>Sanctuary Counteroffensive</w:t>
            </w:r>
            <w:r w:rsidRPr="00081227">
              <w:rPr>
                <w:rFonts w:ascii="Calibri" w:eastAsia="Times New Roman" w:hAnsi="Calibri" w:cs="Calibri"/>
                <w:vertAlign w:val="superscript"/>
              </w:rPr>
              <w:t>[b][a]</w:t>
            </w:r>
            <w:r w:rsidRPr="00081227">
              <w:rPr>
                <w:rFonts w:ascii="Calibri" w:eastAsia="Times New Roman" w:hAnsi="Calibri" w:cs="Calibri"/>
                <w:color w:val="000000"/>
              </w:rPr>
              <w:t xml:space="preserve"> </w:t>
            </w:r>
          </w:p>
        </w:tc>
        <w:tc>
          <w:tcPr>
            <w:tcW w:w="1420" w:type="dxa"/>
            <w:tcBorders>
              <w:top w:val="nil"/>
              <w:left w:val="nil"/>
              <w:bottom w:val="single" w:sz="8" w:space="0" w:color="A2A9B1"/>
              <w:right w:val="single" w:sz="8" w:space="0" w:color="A2A9B1"/>
            </w:tcBorders>
            <w:shd w:val="clear" w:color="000000" w:fill="F8F9FA"/>
            <w:vAlign w:val="center"/>
            <w:hideMark/>
          </w:tcPr>
          <w:p w:rsidR="00081227" w:rsidRPr="00081227" w:rsidRDefault="00081227" w:rsidP="00081227">
            <w:pPr>
              <w:spacing w:after="0" w:line="240" w:lineRule="auto"/>
              <w:jc w:val="right"/>
              <w:rPr>
                <w:rFonts w:ascii="Calibri" w:eastAsia="Times New Roman" w:hAnsi="Calibri" w:cs="Calibri"/>
                <w:color w:val="000000"/>
              </w:rPr>
            </w:pPr>
            <w:r w:rsidRPr="00081227">
              <w:rPr>
                <w:rFonts w:ascii="Calibri" w:eastAsia="Times New Roman" w:hAnsi="Calibri" w:cs="Calibri"/>
                <w:color w:val="000000"/>
              </w:rPr>
              <w:t>1-May-70</w:t>
            </w:r>
          </w:p>
        </w:tc>
        <w:tc>
          <w:tcPr>
            <w:tcW w:w="1680" w:type="dxa"/>
            <w:tcBorders>
              <w:top w:val="nil"/>
              <w:left w:val="nil"/>
              <w:bottom w:val="single" w:sz="8" w:space="0" w:color="A2A9B1"/>
              <w:right w:val="single" w:sz="8" w:space="0" w:color="A2A9B1"/>
            </w:tcBorders>
            <w:shd w:val="clear" w:color="000000" w:fill="F8F9FA"/>
            <w:vAlign w:val="center"/>
            <w:hideMark/>
          </w:tcPr>
          <w:p w:rsidR="00081227" w:rsidRPr="00081227" w:rsidRDefault="00081227" w:rsidP="00081227">
            <w:pPr>
              <w:spacing w:after="0" w:line="240" w:lineRule="auto"/>
              <w:jc w:val="right"/>
              <w:rPr>
                <w:rFonts w:ascii="Calibri" w:eastAsia="Times New Roman" w:hAnsi="Calibri" w:cs="Calibri"/>
                <w:color w:val="000000"/>
              </w:rPr>
            </w:pPr>
            <w:r w:rsidRPr="00081227">
              <w:rPr>
                <w:rFonts w:ascii="Calibri" w:eastAsia="Times New Roman" w:hAnsi="Calibri" w:cs="Calibri"/>
                <w:color w:val="000000"/>
              </w:rPr>
              <w:t>30-Jun-70</w:t>
            </w:r>
          </w:p>
        </w:tc>
      </w:tr>
      <w:tr w:rsidR="00081227" w:rsidRPr="00081227" w:rsidTr="00081227">
        <w:trPr>
          <w:trHeight w:val="315"/>
        </w:trPr>
        <w:tc>
          <w:tcPr>
            <w:tcW w:w="4240" w:type="dxa"/>
            <w:tcBorders>
              <w:top w:val="nil"/>
              <w:left w:val="single" w:sz="8" w:space="0" w:color="A2A9B1"/>
              <w:bottom w:val="single" w:sz="8" w:space="0" w:color="A2A9B1"/>
              <w:right w:val="single" w:sz="8" w:space="0" w:color="A2A9B1"/>
            </w:tcBorders>
            <w:shd w:val="clear" w:color="000000" w:fill="F8F9FA"/>
            <w:vAlign w:val="center"/>
            <w:hideMark/>
          </w:tcPr>
          <w:p w:rsidR="00081227" w:rsidRPr="00081227" w:rsidRDefault="00B91259" w:rsidP="00081227">
            <w:pPr>
              <w:spacing w:after="0" w:line="240" w:lineRule="auto"/>
              <w:rPr>
                <w:rFonts w:ascii="Calibri" w:eastAsia="Times New Roman" w:hAnsi="Calibri" w:cs="Calibri"/>
                <w:color w:val="0000FF"/>
                <w:u w:val="single"/>
              </w:rPr>
            </w:pPr>
            <w:hyperlink r:id="rId20" w:anchor="cite_note-footnote1-15" w:history="1">
              <w:r w:rsidR="00081227" w:rsidRPr="00081227">
                <w:rPr>
                  <w:rFonts w:ascii="Calibri" w:eastAsia="Times New Roman" w:hAnsi="Calibri" w:cs="Calibri"/>
                  <w:color w:val="0000FF"/>
                  <w:u w:val="single"/>
                </w:rPr>
                <w:t xml:space="preserve">Vietnam Counteroffensive Phase VII[a] </w:t>
              </w:r>
            </w:hyperlink>
          </w:p>
        </w:tc>
        <w:tc>
          <w:tcPr>
            <w:tcW w:w="1420" w:type="dxa"/>
            <w:tcBorders>
              <w:top w:val="nil"/>
              <w:left w:val="nil"/>
              <w:bottom w:val="single" w:sz="8" w:space="0" w:color="A2A9B1"/>
              <w:right w:val="single" w:sz="8" w:space="0" w:color="A2A9B1"/>
            </w:tcBorders>
            <w:shd w:val="clear" w:color="000000" w:fill="F8F9FA"/>
            <w:vAlign w:val="center"/>
            <w:hideMark/>
          </w:tcPr>
          <w:p w:rsidR="00081227" w:rsidRPr="00081227" w:rsidRDefault="00081227" w:rsidP="00081227">
            <w:pPr>
              <w:spacing w:after="0" w:line="240" w:lineRule="auto"/>
              <w:jc w:val="right"/>
              <w:rPr>
                <w:rFonts w:ascii="Calibri" w:eastAsia="Times New Roman" w:hAnsi="Calibri" w:cs="Calibri"/>
                <w:color w:val="000000"/>
              </w:rPr>
            </w:pPr>
            <w:r w:rsidRPr="00081227">
              <w:rPr>
                <w:rFonts w:ascii="Calibri" w:eastAsia="Times New Roman" w:hAnsi="Calibri" w:cs="Calibri"/>
                <w:color w:val="000000"/>
              </w:rPr>
              <w:t>1-Jul-70</w:t>
            </w:r>
          </w:p>
        </w:tc>
        <w:tc>
          <w:tcPr>
            <w:tcW w:w="1680" w:type="dxa"/>
            <w:tcBorders>
              <w:top w:val="nil"/>
              <w:left w:val="nil"/>
              <w:bottom w:val="single" w:sz="8" w:space="0" w:color="A2A9B1"/>
              <w:right w:val="single" w:sz="8" w:space="0" w:color="A2A9B1"/>
            </w:tcBorders>
            <w:shd w:val="clear" w:color="000000" w:fill="F8F9FA"/>
            <w:vAlign w:val="center"/>
            <w:hideMark/>
          </w:tcPr>
          <w:p w:rsidR="00081227" w:rsidRPr="00081227" w:rsidRDefault="00081227" w:rsidP="00081227">
            <w:pPr>
              <w:spacing w:after="0" w:line="240" w:lineRule="auto"/>
              <w:jc w:val="right"/>
              <w:rPr>
                <w:rFonts w:ascii="Calibri" w:eastAsia="Times New Roman" w:hAnsi="Calibri" w:cs="Calibri"/>
                <w:color w:val="000000"/>
              </w:rPr>
            </w:pPr>
            <w:r w:rsidRPr="00081227">
              <w:rPr>
                <w:rFonts w:ascii="Calibri" w:eastAsia="Times New Roman" w:hAnsi="Calibri" w:cs="Calibri"/>
                <w:color w:val="000000"/>
              </w:rPr>
              <w:t>30-Jun-71</w:t>
            </w:r>
          </w:p>
        </w:tc>
      </w:tr>
      <w:tr w:rsidR="00081227" w:rsidRPr="00081227" w:rsidTr="00081227">
        <w:trPr>
          <w:trHeight w:val="315"/>
        </w:trPr>
        <w:tc>
          <w:tcPr>
            <w:tcW w:w="4240" w:type="dxa"/>
            <w:tcBorders>
              <w:top w:val="nil"/>
              <w:left w:val="single" w:sz="8" w:space="0" w:color="A2A9B1"/>
              <w:bottom w:val="single" w:sz="8" w:space="0" w:color="A2A9B1"/>
              <w:right w:val="single" w:sz="8" w:space="0" w:color="A2A9B1"/>
            </w:tcBorders>
            <w:shd w:val="clear" w:color="000000" w:fill="F8F9FA"/>
            <w:vAlign w:val="center"/>
            <w:hideMark/>
          </w:tcPr>
          <w:p w:rsidR="00081227" w:rsidRPr="00081227" w:rsidRDefault="00B91259" w:rsidP="00081227">
            <w:pPr>
              <w:spacing w:after="0" w:line="240" w:lineRule="auto"/>
              <w:rPr>
                <w:rFonts w:ascii="Calibri" w:eastAsia="Times New Roman" w:hAnsi="Calibri" w:cs="Calibri"/>
                <w:color w:val="0000FF"/>
                <w:u w:val="single"/>
              </w:rPr>
            </w:pPr>
            <w:hyperlink r:id="rId21" w:anchor="cite_note-footnote1-15" w:history="1">
              <w:r w:rsidR="00081227" w:rsidRPr="00081227">
                <w:rPr>
                  <w:rFonts w:ascii="Calibri" w:eastAsia="Times New Roman" w:hAnsi="Calibri" w:cs="Calibri"/>
                  <w:color w:val="0000FF"/>
                  <w:u w:val="single"/>
                </w:rPr>
                <w:t xml:space="preserve">Consolidation I[a] </w:t>
              </w:r>
            </w:hyperlink>
          </w:p>
        </w:tc>
        <w:tc>
          <w:tcPr>
            <w:tcW w:w="1420" w:type="dxa"/>
            <w:tcBorders>
              <w:top w:val="nil"/>
              <w:left w:val="nil"/>
              <w:bottom w:val="single" w:sz="8" w:space="0" w:color="A2A9B1"/>
              <w:right w:val="single" w:sz="8" w:space="0" w:color="A2A9B1"/>
            </w:tcBorders>
            <w:shd w:val="clear" w:color="000000" w:fill="F8F9FA"/>
            <w:vAlign w:val="center"/>
            <w:hideMark/>
          </w:tcPr>
          <w:p w:rsidR="00081227" w:rsidRPr="00081227" w:rsidRDefault="00081227" w:rsidP="00081227">
            <w:pPr>
              <w:spacing w:after="0" w:line="240" w:lineRule="auto"/>
              <w:jc w:val="right"/>
              <w:rPr>
                <w:rFonts w:ascii="Calibri" w:eastAsia="Times New Roman" w:hAnsi="Calibri" w:cs="Calibri"/>
                <w:color w:val="000000"/>
              </w:rPr>
            </w:pPr>
            <w:r w:rsidRPr="00081227">
              <w:rPr>
                <w:rFonts w:ascii="Calibri" w:eastAsia="Times New Roman" w:hAnsi="Calibri" w:cs="Calibri"/>
                <w:color w:val="000000"/>
              </w:rPr>
              <w:t>1-Jul-71</w:t>
            </w:r>
          </w:p>
        </w:tc>
        <w:tc>
          <w:tcPr>
            <w:tcW w:w="1680" w:type="dxa"/>
            <w:tcBorders>
              <w:top w:val="nil"/>
              <w:left w:val="nil"/>
              <w:bottom w:val="single" w:sz="8" w:space="0" w:color="A2A9B1"/>
              <w:right w:val="single" w:sz="8" w:space="0" w:color="A2A9B1"/>
            </w:tcBorders>
            <w:shd w:val="clear" w:color="000000" w:fill="F8F9FA"/>
            <w:vAlign w:val="center"/>
            <w:hideMark/>
          </w:tcPr>
          <w:p w:rsidR="00081227" w:rsidRPr="00081227" w:rsidRDefault="00081227" w:rsidP="00081227">
            <w:pPr>
              <w:spacing w:after="0" w:line="240" w:lineRule="auto"/>
              <w:jc w:val="right"/>
              <w:rPr>
                <w:rFonts w:ascii="Calibri" w:eastAsia="Times New Roman" w:hAnsi="Calibri" w:cs="Calibri"/>
                <w:color w:val="000000"/>
              </w:rPr>
            </w:pPr>
            <w:r w:rsidRPr="00081227">
              <w:rPr>
                <w:rFonts w:ascii="Calibri" w:eastAsia="Times New Roman" w:hAnsi="Calibri" w:cs="Calibri"/>
                <w:color w:val="000000"/>
              </w:rPr>
              <w:t>30-Nov-71</w:t>
            </w:r>
          </w:p>
        </w:tc>
      </w:tr>
      <w:tr w:rsidR="00081227" w:rsidRPr="00081227" w:rsidTr="00081227">
        <w:trPr>
          <w:trHeight w:val="315"/>
        </w:trPr>
        <w:tc>
          <w:tcPr>
            <w:tcW w:w="4240" w:type="dxa"/>
            <w:tcBorders>
              <w:top w:val="nil"/>
              <w:left w:val="single" w:sz="8" w:space="0" w:color="A2A9B1"/>
              <w:bottom w:val="single" w:sz="8" w:space="0" w:color="A2A9B1"/>
              <w:right w:val="single" w:sz="8" w:space="0" w:color="A2A9B1"/>
            </w:tcBorders>
            <w:shd w:val="clear" w:color="000000" w:fill="F8F9FA"/>
            <w:vAlign w:val="center"/>
            <w:hideMark/>
          </w:tcPr>
          <w:p w:rsidR="00081227" w:rsidRPr="00081227" w:rsidRDefault="00B91259" w:rsidP="00081227">
            <w:pPr>
              <w:spacing w:after="0" w:line="240" w:lineRule="auto"/>
              <w:rPr>
                <w:rFonts w:ascii="Calibri" w:eastAsia="Times New Roman" w:hAnsi="Calibri" w:cs="Calibri"/>
                <w:color w:val="0000FF"/>
                <w:u w:val="single"/>
              </w:rPr>
            </w:pPr>
            <w:hyperlink r:id="rId22" w:anchor="cite_note-footnote1-15" w:history="1">
              <w:r w:rsidR="00081227" w:rsidRPr="00081227">
                <w:rPr>
                  <w:rFonts w:ascii="Calibri" w:eastAsia="Times New Roman" w:hAnsi="Calibri" w:cs="Calibri"/>
                  <w:color w:val="0000FF"/>
                  <w:u w:val="single"/>
                </w:rPr>
                <w:t xml:space="preserve">Consolidation II[a] </w:t>
              </w:r>
            </w:hyperlink>
          </w:p>
        </w:tc>
        <w:tc>
          <w:tcPr>
            <w:tcW w:w="1420" w:type="dxa"/>
            <w:tcBorders>
              <w:top w:val="nil"/>
              <w:left w:val="nil"/>
              <w:bottom w:val="single" w:sz="8" w:space="0" w:color="A2A9B1"/>
              <w:right w:val="single" w:sz="8" w:space="0" w:color="A2A9B1"/>
            </w:tcBorders>
            <w:shd w:val="clear" w:color="000000" w:fill="F8F9FA"/>
            <w:vAlign w:val="center"/>
            <w:hideMark/>
          </w:tcPr>
          <w:p w:rsidR="00081227" w:rsidRPr="00081227" w:rsidRDefault="00081227" w:rsidP="00081227">
            <w:pPr>
              <w:spacing w:after="0" w:line="240" w:lineRule="auto"/>
              <w:jc w:val="right"/>
              <w:rPr>
                <w:rFonts w:ascii="Calibri" w:eastAsia="Times New Roman" w:hAnsi="Calibri" w:cs="Calibri"/>
                <w:color w:val="000000"/>
              </w:rPr>
            </w:pPr>
            <w:r w:rsidRPr="00081227">
              <w:rPr>
                <w:rFonts w:ascii="Calibri" w:eastAsia="Times New Roman" w:hAnsi="Calibri" w:cs="Calibri"/>
                <w:color w:val="000000"/>
              </w:rPr>
              <w:t>1-Dec-71</w:t>
            </w:r>
          </w:p>
        </w:tc>
        <w:tc>
          <w:tcPr>
            <w:tcW w:w="1680" w:type="dxa"/>
            <w:tcBorders>
              <w:top w:val="nil"/>
              <w:left w:val="nil"/>
              <w:bottom w:val="single" w:sz="8" w:space="0" w:color="A2A9B1"/>
              <w:right w:val="single" w:sz="8" w:space="0" w:color="A2A9B1"/>
            </w:tcBorders>
            <w:shd w:val="clear" w:color="000000" w:fill="F8F9FA"/>
            <w:vAlign w:val="center"/>
            <w:hideMark/>
          </w:tcPr>
          <w:p w:rsidR="00081227" w:rsidRPr="00081227" w:rsidRDefault="00081227" w:rsidP="00081227">
            <w:pPr>
              <w:spacing w:after="0" w:line="240" w:lineRule="auto"/>
              <w:jc w:val="right"/>
              <w:rPr>
                <w:rFonts w:ascii="Calibri" w:eastAsia="Times New Roman" w:hAnsi="Calibri" w:cs="Calibri"/>
                <w:color w:val="000000"/>
              </w:rPr>
            </w:pPr>
            <w:r w:rsidRPr="00081227">
              <w:rPr>
                <w:rFonts w:ascii="Calibri" w:eastAsia="Times New Roman" w:hAnsi="Calibri" w:cs="Calibri"/>
                <w:color w:val="000000"/>
              </w:rPr>
              <w:t>29-Mar-72</w:t>
            </w:r>
          </w:p>
        </w:tc>
      </w:tr>
      <w:tr w:rsidR="00081227" w:rsidRPr="00081227" w:rsidTr="00081227">
        <w:trPr>
          <w:trHeight w:val="315"/>
        </w:trPr>
        <w:tc>
          <w:tcPr>
            <w:tcW w:w="4240" w:type="dxa"/>
            <w:tcBorders>
              <w:top w:val="nil"/>
              <w:left w:val="single" w:sz="8" w:space="0" w:color="A2A9B1"/>
              <w:bottom w:val="single" w:sz="8" w:space="0" w:color="A2A9B1"/>
              <w:right w:val="single" w:sz="8" w:space="0" w:color="A2A9B1"/>
            </w:tcBorders>
            <w:shd w:val="clear" w:color="000000" w:fill="F8F9FA"/>
            <w:vAlign w:val="center"/>
            <w:hideMark/>
          </w:tcPr>
          <w:p w:rsidR="00081227" w:rsidRPr="00081227" w:rsidRDefault="00B91259" w:rsidP="00081227">
            <w:pPr>
              <w:spacing w:after="0" w:line="240" w:lineRule="auto"/>
              <w:rPr>
                <w:rFonts w:ascii="Calibri" w:eastAsia="Times New Roman" w:hAnsi="Calibri" w:cs="Calibri"/>
                <w:color w:val="0000FF"/>
                <w:u w:val="single"/>
              </w:rPr>
            </w:pPr>
            <w:hyperlink r:id="rId23" w:anchor="cite_note-footnote1-15" w:history="1">
              <w:r w:rsidR="00081227" w:rsidRPr="00081227">
                <w:rPr>
                  <w:rFonts w:ascii="Calibri" w:eastAsia="Times New Roman" w:hAnsi="Calibri" w:cs="Calibri"/>
                  <w:color w:val="0000FF"/>
                  <w:u w:val="single"/>
                </w:rPr>
                <w:t xml:space="preserve">Vietnam Cease-fire[a] </w:t>
              </w:r>
            </w:hyperlink>
          </w:p>
        </w:tc>
        <w:tc>
          <w:tcPr>
            <w:tcW w:w="1420" w:type="dxa"/>
            <w:tcBorders>
              <w:top w:val="nil"/>
              <w:left w:val="nil"/>
              <w:bottom w:val="single" w:sz="8" w:space="0" w:color="A2A9B1"/>
              <w:right w:val="single" w:sz="8" w:space="0" w:color="A2A9B1"/>
            </w:tcBorders>
            <w:shd w:val="clear" w:color="000000" w:fill="F8F9FA"/>
            <w:vAlign w:val="center"/>
            <w:hideMark/>
          </w:tcPr>
          <w:p w:rsidR="00081227" w:rsidRPr="00081227" w:rsidRDefault="00081227" w:rsidP="00081227">
            <w:pPr>
              <w:spacing w:after="0" w:line="240" w:lineRule="auto"/>
              <w:jc w:val="right"/>
              <w:rPr>
                <w:rFonts w:ascii="Calibri" w:eastAsia="Times New Roman" w:hAnsi="Calibri" w:cs="Calibri"/>
                <w:color w:val="000000"/>
              </w:rPr>
            </w:pPr>
            <w:r w:rsidRPr="00081227">
              <w:rPr>
                <w:rFonts w:ascii="Calibri" w:eastAsia="Times New Roman" w:hAnsi="Calibri" w:cs="Calibri"/>
                <w:color w:val="000000"/>
              </w:rPr>
              <w:t>30-Mar-72</w:t>
            </w:r>
          </w:p>
        </w:tc>
        <w:tc>
          <w:tcPr>
            <w:tcW w:w="1680" w:type="dxa"/>
            <w:tcBorders>
              <w:top w:val="nil"/>
              <w:left w:val="nil"/>
              <w:bottom w:val="single" w:sz="8" w:space="0" w:color="A2A9B1"/>
              <w:right w:val="single" w:sz="8" w:space="0" w:color="A2A9B1"/>
            </w:tcBorders>
            <w:shd w:val="clear" w:color="000000" w:fill="F8F9FA"/>
            <w:vAlign w:val="center"/>
            <w:hideMark/>
          </w:tcPr>
          <w:p w:rsidR="00081227" w:rsidRPr="00081227" w:rsidRDefault="00081227" w:rsidP="00081227">
            <w:pPr>
              <w:spacing w:after="0" w:line="240" w:lineRule="auto"/>
              <w:jc w:val="right"/>
              <w:rPr>
                <w:rFonts w:ascii="Calibri" w:eastAsia="Times New Roman" w:hAnsi="Calibri" w:cs="Calibri"/>
                <w:color w:val="000000"/>
              </w:rPr>
            </w:pPr>
            <w:r w:rsidRPr="00081227">
              <w:rPr>
                <w:rFonts w:ascii="Calibri" w:eastAsia="Times New Roman" w:hAnsi="Calibri" w:cs="Calibri"/>
                <w:color w:val="000000"/>
              </w:rPr>
              <w:t>28-Jan-73</w:t>
            </w:r>
          </w:p>
        </w:tc>
      </w:tr>
      <w:tr w:rsidR="00081227" w:rsidRPr="00081227" w:rsidTr="00081227">
        <w:trPr>
          <w:trHeight w:val="660"/>
        </w:trPr>
        <w:tc>
          <w:tcPr>
            <w:tcW w:w="4240" w:type="dxa"/>
            <w:tcBorders>
              <w:top w:val="nil"/>
              <w:left w:val="single" w:sz="8" w:space="0" w:color="A2A9B1"/>
              <w:bottom w:val="single" w:sz="8" w:space="0" w:color="A2A9B1"/>
              <w:right w:val="single" w:sz="8" w:space="0" w:color="A2A9B1"/>
            </w:tcBorders>
            <w:shd w:val="clear" w:color="000000" w:fill="F8F9FA"/>
            <w:vAlign w:val="center"/>
            <w:hideMark/>
          </w:tcPr>
          <w:p w:rsidR="00081227" w:rsidRPr="00081227" w:rsidRDefault="00081227" w:rsidP="00081227">
            <w:pPr>
              <w:spacing w:after="0" w:line="240" w:lineRule="auto"/>
              <w:rPr>
                <w:rFonts w:ascii="Calibri" w:eastAsia="Times New Roman" w:hAnsi="Calibri" w:cs="Calibri"/>
                <w:color w:val="000000"/>
              </w:rPr>
            </w:pPr>
            <w:r w:rsidRPr="00081227">
              <w:rPr>
                <w:rFonts w:ascii="Calibri" w:eastAsia="Times New Roman" w:hAnsi="Calibri" w:cs="Calibri"/>
                <w:color w:val="000000"/>
              </w:rPr>
              <w:t>Operation Frequent Wind</w:t>
            </w:r>
            <w:r w:rsidRPr="00081227">
              <w:rPr>
                <w:rFonts w:ascii="Calibri" w:eastAsia="Times New Roman" w:hAnsi="Calibri" w:cs="Calibri"/>
                <w:vertAlign w:val="superscript"/>
              </w:rPr>
              <w:t>[b][a]</w:t>
            </w:r>
            <w:r w:rsidRPr="00081227">
              <w:rPr>
                <w:rFonts w:ascii="Calibri" w:eastAsia="Times New Roman" w:hAnsi="Calibri" w:cs="Calibri"/>
                <w:color w:val="000000"/>
              </w:rPr>
              <w:t xml:space="preserve"> (USN, USMC, and USAF only) </w:t>
            </w:r>
          </w:p>
        </w:tc>
        <w:tc>
          <w:tcPr>
            <w:tcW w:w="1420" w:type="dxa"/>
            <w:tcBorders>
              <w:top w:val="nil"/>
              <w:left w:val="nil"/>
              <w:bottom w:val="single" w:sz="8" w:space="0" w:color="A2A9B1"/>
              <w:right w:val="single" w:sz="8" w:space="0" w:color="A2A9B1"/>
            </w:tcBorders>
            <w:shd w:val="clear" w:color="000000" w:fill="F8F9FA"/>
            <w:vAlign w:val="center"/>
            <w:hideMark/>
          </w:tcPr>
          <w:p w:rsidR="00081227" w:rsidRPr="00081227" w:rsidRDefault="00081227" w:rsidP="00081227">
            <w:pPr>
              <w:spacing w:after="0" w:line="240" w:lineRule="auto"/>
              <w:jc w:val="right"/>
              <w:rPr>
                <w:rFonts w:ascii="Calibri" w:eastAsia="Times New Roman" w:hAnsi="Calibri" w:cs="Calibri"/>
                <w:color w:val="000000"/>
              </w:rPr>
            </w:pPr>
            <w:r w:rsidRPr="00081227">
              <w:rPr>
                <w:rFonts w:ascii="Calibri" w:eastAsia="Times New Roman" w:hAnsi="Calibri" w:cs="Calibri"/>
                <w:color w:val="000000"/>
              </w:rPr>
              <w:t>29-Apr-75</w:t>
            </w:r>
          </w:p>
        </w:tc>
        <w:tc>
          <w:tcPr>
            <w:tcW w:w="1680" w:type="dxa"/>
            <w:tcBorders>
              <w:top w:val="nil"/>
              <w:left w:val="nil"/>
              <w:bottom w:val="single" w:sz="8" w:space="0" w:color="A2A9B1"/>
              <w:right w:val="single" w:sz="8" w:space="0" w:color="A2A9B1"/>
            </w:tcBorders>
            <w:shd w:val="clear" w:color="000000" w:fill="F8F9FA"/>
            <w:vAlign w:val="center"/>
            <w:hideMark/>
          </w:tcPr>
          <w:p w:rsidR="00081227" w:rsidRPr="00081227" w:rsidRDefault="00081227" w:rsidP="00081227">
            <w:pPr>
              <w:spacing w:after="0" w:line="240" w:lineRule="auto"/>
              <w:jc w:val="right"/>
              <w:rPr>
                <w:rFonts w:ascii="Calibri" w:eastAsia="Times New Roman" w:hAnsi="Calibri" w:cs="Calibri"/>
                <w:color w:val="000000"/>
              </w:rPr>
            </w:pPr>
            <w:r w:rsidRPr="00081227">
              <w:rPr>
                <w:rFonts w:ascii="Calibri" w:eastAsia="Times New Roman" w:hAnsi="Calibri" w:cs="Calibri"/>
                <w:color w:val="000000"/>
              </w:rPr>
              <w:t>30-Apr-75</w:t>
            </w:r>
          </w:p>
        </w:tc>
      </w:tr>
    </w:tbl>
    <w:p w:rsidR="008F6A48" w:rsidRPr="00383CCC" w:rsidRDefault="008F6A48" w:rsidP="00383CCC">
      <w:pPr>
        <w:ind w:left="720"/>
        <w:rPr>
          <w:rFonts w:cstheme="minorHAnsi"/>
        </w:rPr>
      </w:pPr>
      <w:r w:rsidRPr="00383CCC">
        <w:rPr>
          <w:rFonts w:cstheme="minorHAnsi"/>
        </w:rPr>
        <w:t xml:space="preserve"> </w:t>
      </w:r>
    </w:p>
    <w:p w:rsidR="008F6A48" w:rsidRPr="008F6A48" w:rsidRDefault="008F6A48">
      <w:pPr>
        <w:rPr>
          <w:rFonts w:cstheme="minorHAnsi"/>
        </w:rPr>
      </w:pPr>
    </w:p>
    <w:p w:rsidR="006F6546" w:rsidRDefault="00E06A9E">
      <w:pPr>
        <w:rPr>
          <w:b/>
          <w:i/>
        </w:rPr>
      </w:pPr>
      <w:r>
        <w:t xml:space="preserve"> </w:t>
      </w:r>
      <w:r w:rsidRPr="0053485B">
        <w:rPr>
          <w:b/>
          <w:i/>
        </w:rPr>
        <w:t>Vietnamese Campaign Medal</w:t>
      </w:r>
    </w:p>
    <w:p w:rsidR="006F6546" w:rsidRPr="006F6546" w:rsidRDefault="006F6546" w:rsidP="006F6546">
      <w:pPr>
        <w:ind w:left="720"/>
        <w:rPr>
          <w:rFonts w:cstheme="minorHAnsi"/>
        </w:rPr>
      </w:pPr>
      <w:r w:rsidRPr="006F6546">
        <w:rPr>
          <w:rFonts w:cstheme="minorHAnsi"/>
          <w:shd w:val="clear" w:color="auto" w:fill="FFFFFF"/>
        </w:rPr>
        <w:t>Public Law 88–257 permits U.S. military personnel to accept the medal for service performed in Vietnam from 1 March 1961 to 28 March 1973, inclusive.</w:t>
      </w:r>
      <w:hyperlink r:id="rId24" w:anchor="cite_note-SENAVINST_1650.1H-3" w:history="1">
        <w:r w:rsidRPr="006F6546">
          <w:rPr>
            <w:rStyle w:val="Hyperlink"/>
            <w:rFonts w:cstheme="minorHAnsi"/>
            <w:color w:val="auto"/>
            <w:u w:val="none"/>
            <w:vertAlign w:val="superscript"/>
          </w:rPr>
          <w:t>[1]</w:t>
        </w:r>
      </w:hyperlink>
      <w:r w:rsidRPr="006F6546">
        <w:rPr>
          <w:rFonts w:cstheme="minorHAnsi"/>
          <w:shd w:val="clear" w:color="auto" w:fill="FFFFFF"/>
        </w:rPr>
        <w:t xml:space="preserve"> Since March 1966, the medal may also be awarded to any service member who, while serving outside the geographical limits of the </w:t>
      </w:r>
      <w:hyperlink r:id="rId25" w:tooltip="South Vietnam" w:history="1">
        <w:r w:rsidRPr="006F6546">
          <w:rPr>
            <w:rStyle w:val="Hyperlink"/>
            <w:rFonts w:cstheme="minorHAnsi"/>
            <w:color w:val="auto"/>
            <w:u w:val="none"/>
          </w:rPr>
          <w:t>Republic of Vietnam</w:t>
        </w:r>
      </w:hyperlink>
      <w:r w:rsidRPr="006F6546">
        <w:rPr>
          <w:rFonts w:cstheme="minorHAnsi"/>
          <w:shd w:val="clear" w:color="auto" w:fill="FFFFFF"/>
        </w:rPr>
        <w:t xml:space="preserve">, contributed direct combat support to the Republic of Vietnam Armed Forces for six months. This stipulation most often applies to members who performed </w:t>
      </w:r>
      <w:hyperlink r:id="rId26" w:tooltip="Vietnam War" w:history="1">
        <w:r w:rsidRPr="006F6546">
          <w:rPr>
            <w:rStyle w:val="Hyperlink"/>
            <w:rFonts w:cstheme="minorHAnsi"/>
            <w:color w:val="auto"/>
            <w:u w:val="none"/>
          </w:rPr>
          <w:t>Vietnam War</w:t>
        </w:r>
      </w:hyperlink>
      <w:r w:rsidRPr="006F6546">
        <w:rPr>
          <w:rFonts w:cstheme="minorHAnsi"/>
          <w:shd w:val="clear" w:color="auto" w:fill="FFFFFF"/>
        </w:rPr>
        <w:t xml:space="preserve"> support from the </w:t>
      </w:r>
      <w:hyperlink r:id="rId27" w:tooltip="7th Fleet" w:history="1">
        <w:r w:rsidRPr="006F6546">
          <w:rPr>
            <w:rStyle w:val="Hyperlink"/>
            <w:rFonts w:cstheme="minorHAnsi"/>
            <w:color w:val="auto"/>
            <w:u w:val="none"/>
          </w:rPr>
          <w:t>7th Fleet</w:t>
        </w:r>
      </w:hyperlink>
      <w:r w:rsidRPr="006F6546">
        <w:rPr>
          <w:rFonts w:cstheme="minorHAnsi"/>
          <w:shd w:val="clear" w:color="auto" w:fill="FFFFFF"/>
        </w:rPr>
        <w:t xml:space="preserve"> (all members of the fleet serving off the coast of Vietnam), </w:t>
      </w:r>
      <w:hyperlink r:id="rId28" w:tooltip="Thailand" w:history="1">
        <w:r w:rsidRPr="006F6546">
          <w:rPr>
            <w:rStyle w:val="Hyperlink"/>
            <w:rFonts w:cstheme="minorHAnsi"/>
            <w:color w:val="auto"/>
            <w:u w:val="none"/>
          </w:rPr>
          <w:t>Thailand</w:t>
        </w:r>
      </w:hyperlink>
      <w:r w:rsidRPr="006F6546">
        <w:rPr>
          <w:rFonts w:cstheme="minorHAnsi"/>
          <w:shd w:val="clear" w:color="auto" w:fill="FFFFFF"/>
        </w:rPr>
        <w:t xml:space="preserve"> and </w:t>
      </w:r>
      <w:hyperlink r:id="rId29" w:tooltip="Guam" w:history="1">
        <w:r w:rsidRPr="006F6546">
          <w:rPr>
            <w:rStyle w:val="Hyperlink"/>
            <w:rFonts w:cstheme="minorHAnsi"/>
            <w:color w:val="auto"/>
            <w:u w:val="none"/>
          </w:rPr>
          <w:t>Guam</w:t>
        </w:r>
      </w:hyperlink>
      <w:r w:rsidRPr="006F6546">
        <w:rPr>
          <w:rFonts w:cstheme="minorHAnsi"/>
          <w:shd w:val="clear" w:color="auto" w:fill="FFFFFF"/>
        </w:rPr>
        <w:t xml:space="preserve"> (air crews if aircraft out of Thailand and Guam; no ground support staff),</w:t>
      </w:r>
      <w:hyperlink r:id="rId30" w:anchor="cite_note-Defence_Honours_and_Awards_Appeals_Tribunal_Report-4" w:history="1">
        <w:r w:rsidRPr="006F6546">
          <w:rPr>
            <w:rStyle w:val="Hyperlink"/>
            <w:rFonts w:cstheme="minorHAnsi"/>
            <w:color w:val="auto"/>
            <w:u w:val="none"/>
            <w:vertAlign w:val="superscript"/>
          </w:rPr>
          <w:t>[2]</w:t>
        </w:r>
      </w:hyperlink>
      <w:r w:rsidRPr="006F6546">
        <w:rPr>
          <w:rFonts w:cstheme="minorHAnsi"/>
          <w:vertAlign w:val="superscript"/>
        </w:rPr>
        <w:t>:5–6, 17–18</w:t>
      </w:r>
      <w:r w:rsidRPr="006F6546">
        <w:rPr>
          <w:rFonts w:cstheme="minorHAnsi"/>
          <w:shd w:val="clear" w:color="auto" w:fill="FFFFFF"/>
        </w:rPr>
        <w:t xml:space="preserve"> and Japan. In such cases, a U.S. service member must meet the criteria established for the </w:t>
      </w:r>
      <w:hyperlink r:id="rId31" w:tooltip="Armed Forces Expeditionary Medal" w:history="1">
        <w:r w:rsidRPr="006F6546">
          <w:rPr>
            <w:rStyle w:val="Hyperlink"/>
            <w:rFonts w:cstheme="minorHAnsi"/>
            <w:color w:val="auto"/>
            <w:u w:val="none"/>
          </w:rPr>
          <w:t>Armed Forces Expeditionary Medal</w:t>
        </w:r>
      </w:hyperlink>
      <w:r w:rsidRPr="006F6546">
        <w:rPr>
          <w:rFonts w:cstheme="minorHAnsi"/>
          <w:shd w:val="clear" w:color="auto" w:fill="FFFFFF"/>
        </w:rPr>
        <w:t xml:space="preserve"> (Vietnam) or </w:t>
      </w:r>
      <w:hyperlink r:id="rId32" w:tooltip="Vietnam Service Medal" w:history="1">
        <w:r w:rsidRPr="006F6546">
          <w:rPr>
            <w:rStyle w:val="Hyperlink"/>
            <w:rFonts w:cstheme="minorHAnsi"/>
            <w:color w:val="auto"/>
            <w:u w:val="none"/>
          </w:rPr>
          <w:t>Vietnam Service Medal</w:t>
        </w:r>
      </w:hyperlink>
      <w:r w:rsidRPr="006F6546">
        <w:rPr>
          <w:rFonts w:cstheme="minorHAnsi"/>
          <w:shd w:val="clear" w:color="auto" w:fill="FFFFFF"/>
        </w:rPr>
        <w:t xml:space="preserve"> during the period of service required to qualify for the Republic of Vietnam Campaign Medal.</w:t>
      </w:r>
    </w:p>
    <w:p w:rsidR="0053485B" w:rsidRPr="0053485B" w:rsidRDefault="008F6A48">
      <w:pPr>
        <w:rPr>
          <w:b/>
          <w:i/>
        </w:rPr>
      </w:pPr>
      <w:r w:rsidRPr="0053485B">
        <w:rPr>
          <w:b/>
          <w:i/>
        </w:rPr>
        <w:lastRenderedPageBreak/>
        <w:t>Combat Action Ribbon</w:t>
      </w:r>
    </w:p>
    <w:p w:rsidR="006F6546" w:rsidRPr="006F6546" w:rsidRDefault="006F6546" w:rsidP="006F6546">
      <w:pPr>
        <w:pStyle w:val="NormalWeb"/>
        <w:spacing w:before="120" w:beforeAutospacing="0" w:after="120" w:afterAutospacing="0"/>
        <w:ind w:left="720"/>
        <w:rPr>
          <w:rFonts w:asciiTheme="minorHAnsi" w:hAnsiTheme="minorHAnsi" w:cstheme="minorHAnsi"/>
          <w:color w:val="222222"/>
          <w:sz w:val="22"/>
          <w:szCs w:val="22"/>
        </w:rPr>
      </w:pPr>
      <w:r w:rsidRPr="006F6546">
        <w:rPr>
          <w:rFonts w:asciiTheme="minorHAnsi" w:hAnsiTheme="minorHAnsi" w:cstheme="minorHAnsi"/>
          <w:color w:val="222222"/>
          <w:sz w:val="22"/>
          <w:szCs w:val="22"/>
        </w:rPr>
        <w:t xml:space="preserve">A Combat Action Ribbon is not automatic; after consideration of specified criteria the member's service may AWARD the CAR. For a military member to be awarded a Combat Action Ribbon evidence must establish the member engaged the enemy, was under hostile fire, or was physically attacked by the enemy. The service member's enemy engagement must have been with honor to the United States and to the satisfaction of the Service. </w:t>
      </w:r>
    </w:p>
    <w:p w:rsidR="006F6546" w:rsidRPr="006F6546" w:rsidRDefault="006F6546" w:rsidP="006F6546">
      <w:pPr>
        <w:pStyle w:val="NormalWeb"/>
        <w:spacing w:before="120" w:beforeAutospacing="0" w:after="120" w:afterAutospacing="0"/>
        <w:ind w:left="720"/>
        <w:rPr>
          <w:rFonts w:asciiTheme="minorHAnsi" w:hAnsiTheme="minorHAnsi" w:cstheme="minorHAnsi"/>
          <w:color w:val="222222"/>
          <w:sz w:val="22"/>
          <w:szCs w:val="22"/>
        </w:rPr>
      </w:pPr>
      <w:r w:rsidRPr="006F6546">
        <w:rPr>
          <w:rFonts w:asciiTheme="minorHAnsi" w:hAnsiTheme="minorHAnsi" w:cstheme="minorHAnsi"/>
          <w:color w:val="222222"/>
          <w:sz w:val="22"/>
          <w:szCs w:val="22"/>
        </w:rPr>
        <w:t xml:space="preserve">Evidence must show a service member was in actual combat, not merely present in the area where combat is occurring; the mere presence in a combat zone does not qualify a service member for the award. </w:t>
      </w:r>
    </w:p>
    <w:p w:rsidR="006F6546" w:rsidRPr="006F6546" w:rsidRDefault="006F6546" w:rsidP="006F6546">
      <w:pPr>
        <w:pStyle w:val="NormalWeb"/>
        <w:spacing w:before="120" w:beforeAutospacing="0" w:after="120" w:afterAutospacing="0"/>
        <w:ind w:left="720"/>
        <w:rPr>
          <w:rFonts w:asciiTheme="minorHAnsi" w:hAnsiTheme="minorHAnsi" w:cstheme="minorHAnsi"/>
          <w:color w:val="222222"/>
          <w:sz w:val="22"/>
          <w:szCs w:val="22"/>
        </w:rPr>
      </w:pPr>
      <w:r w:rsidRPr="006F6546">
        <w:rPr>
          <w:rFonts w:asciiTheme="minorHAnsi" w:hAnsiTheme="minorHAnsi" w:cstheme="minorHAnsi"/>
          <w:color w:val="222222"/>
          <w:sz w:val="22"/>
          <w:szCs w:val="22"/>
        </w:rPr>
        <w:t xml:space="preserve">The Combat Action Ribbon is awarded only to individual service members. The CAR cannot be awarded to a military unit, station, or group, although multiple individual service members may be nominated for the award stemming from the same combat action(s). </w:t>
      </w:r>
    </w:p>
    <w:p w:rsidR="0053485B" w:rsidRDefault="0053485B"/>
    <w:p w:rsidR="006F6546" w:rsidRDefault="008F6A48">
      <w:pPr>
        <w:rPr>
          <w:b/>
          <w:i/>
        </w:rPr>
      </w:pPr>
      <w:proofErr w:type="gramStart"/>
      <w:r w:rsidRPr="006F6546">
        <w:rPr>
          <w:b/>
          <w:i/>
        </w:rPr>
        <w:t xml:space="preserve">Purple Heart with 1 </w:t>
      </w:r>
      <w:r w:rsidR="006F6546">
        <w:rPr>
          <w:b/>
          <w:i/>
        </w:rPr>
        <w:t>Cluster</w:t>
      </w:r>
      <w:r w:rsidRPr="006F6546">
        <w:rPr>
          <w:b/>
          <w:i/>
        </w:rPr>
        <w:t>.</w:t>
      </w:r>
      <w:proofErr w:type="gramEnd"/>
      <w:r w:rsidRPr="006F6546">
        <w:rPr>
          <w:b/>
          <w:i/>
        </w:rPr>
        <w:t xml:space="preserve"> </w:t>
      </w:r>
    </w:p>
    <w:p w:rsidR="006F6546" w:rsidRPr="006F6546" w:rsidRDefault="006F6546" w:rsidP="006F6546">
      <w:pPr>
        <w:spacing w:before="120" w:after="120" w:line="240" w:lineRule="auto"/>
        <w:ind w:left="720"/>
        <w:rPr>
          <w:rFonts w:eastAsia="Times New Roman" w:cstheme="minorHAnsi"/>
        </w:rPr>
      </w:pPr>
      <w:r w:rsidRPr="006F6546">
        <w:rPr>
          <w:rFonts w:eastAsia="Times New Roman" w:cstheme="minorHAnsi"/>
        </w:rPr>
        <w:t xml:space="preserve">The Purple Heart is awarded in the name of the President of the United States to any member of the Armed Forces of the United States who, while serving under competent authority in any capacity with one of the U.S. Armed Services after April 5, 1917, has been wounded or killed. Specific examples of services which warrant the Purple Heart includes: </w:t>
      </w:r>
    </w:p>
    <w:p w:rsidR="006F6546" w:rsidRPr="006F6546" w:rsidRDefault="006F6546" w:rsidP="006F6546">
      <w:pPr>
        <w:spacing w:after="24" w:line="240" w:lineRule="auto"/>
        <w:ind w:left="1440"/>
        <w:rPr>
          <w:rFonts w:eastAsia="Times New Roman" w:cstheme="minorHAnsi"/>
        </w:rPr>
      </w:pPr>
      <w:r w:rsidRPr="006F6546">
        <w:rPr>
          <w:rFonts w:eastAsia="Times New Roman" w:cstheme="minorHAnsi"/>
        </w:rPr>
        <w:t xml:space="preserve">a) </w:t>
      </w:r>
      <w:proofErr w:type="gramStart"/>
      <w:r w:rsidRPr="006F6546">
        <w:rPr>
          <w:rFonts w:eastAsia="Times New Roman" w:cstheme="minorHAnsi"/>
        </w:rPr>
        <w:t>any</w:t>
      </w:r>
      <w:proofErr w:type="gramEnd"/>
      <w:r w:rsidRPr="006F6546">
        <w:rPr>
          <w:rFonts w:eastAsia="Times New Roman" w:cstheme="minorHAnsi"/>
        </w:rPr>
        <w:t xml:space="preserve"> action against an enemy of the United States;</w:t>
      </w:r>
    </w:p>
    <w:p w:rsidR="006F6546" w:rsidRPr="006F6546" w:rsidRDefault="006F6546" w:rsidP="006F6546">
      <w:pPr>
        <w:spacing w:after="24" w:line="240" w:lineRule="auto"/>
        <w:ind w:left="1440"/>
        <w:rPr>
          <w:rFonts w:eastAsia="Times New Roman" w:cstheme="minorHAnsi"/>
        </w:rPr>
      </w:pPr>
      <w:r w:rsidRPr="006F6546">
        <w:rPr>
          <w:rFonts w:eastAsia="Times New Roman" w:cstheme="minorHAnsi"/>
        </w:rPr>
        <w:t xml:space="preserve">b) </w:t>
      </w:r>
      <w:proofErr w:type="gramStart"/>
      <w:r w:rsidRPr="006F6546">
        <w:rPr>
          <w:rFonts w:eastAsia="Times New Roman" w:cstheme="minorHAnsi"/>
        </w:rPr>
        <w:t>any</w:t>
      </w:r>
      <w:proofErr w:type="gramEnd"/>
      <w:r w:rsidRPr="006F6546">
        <w:rPr>
          <w:rFonts w:eastAsia="Times New Roman" w:cstheme="minorHAnsi"/>
        </w:rPr>
        <w:t xml:space="preserve"> action with an opposing armed force of a foreign country in which the Armed Forces of the United States are or have been engaged;</w:t>
      </w:r>
    </w:p>
    <w:p w:rsidR="006F6546" w:rsidRPr="006F6546" w:rsidRDefault="006F6546" w:rsidP="006F6546">
      <w:pPr>
        <w:spacing w:after="24" w:line="240" w:lineRule="auto"/>
        <w:ind w:left="1440"/>
        <w:rPr>
          <w:rFonts w:eastAsia="Times New Roman" w:cstheme="minorHAnsi"/>
        </w:rPr>
      </w:pPr>
      <w:r w:rsidRPr="006F6546">
        <w:rPr>
          <w:rFonts w:eastAsia="Times New Roman" w:cstheme="minorHAnsi"/>
        </w:rPr>
        <w:t xml:space="preserve">c) </w:t>
      </w:r>
      <w:proofErr w:type="gramStart"/>
      <w:r w:rsidRPr="006F6546">
        <w:rPr>
          <w:rFonts w:eastAsia="Times New Roman" w:cstheme="minorHAnsi"/>
        </w:rPr>
        <w:t>while</w:t>
      </w:r>
      <w:proofErr w:type="gramEnd"/>
      <w:r w:rsidRPr="006F6546">
        <w:rPr>
          <w:rFonts w:eastAsia="Times New Roman" w:cstheme="minorHAnsi"/>
        </w:rPr>
        <w:t xml:space="preserve"> serving with friendly foreign forces engaged in an armed conflict against an opposing armed force in which the United States is not a belligerent party;</w:t>
      </w:r>
    </w:p>
    <w:p w:rsidR="006F6546" w:rsidRPr="006F6546" w:rsidRDefault="006F6546" w:rsidP="006F6546">
      <w:pPr>
        <w:spacing w:after="24" w:line="240" w:lineRule="auto"/>
        <w:ind w:left="1440"/>
        <w:rPr>
          <w:rFonts w:eastAsia="Times New Roman" w:cstheme="minorHAnsi"/>
        </w:rPr>
      </w:pPr>
      <w:r w:rsidRPr="006F6546">
        <w:rPr>
          <w:rFonts w:eastAsia="Times New Roman" w:cstheme="minorHAnsi"/>
        </w:rPr>
        <w:t xml:space="preserve">d) </w:t>
      </w:r>
      <w:proofErr w:type="gramStart"/>
      <w:r w:rsidRPr="006F6546">
        <w:rPr>
          <w:rFonts w:eastAsia="Times New Roman" w:cstheme="minorHAnsi"/>
        </w:rPr>
        <w:t>as</w:t>
      </w:r>
      <w:proofErr w:type="gramEnd"/>
      <w:r w:rsidRPr="006F6546">
        <w:rPr>
          <w:rFonts w:eastAsia="Times New Roman" w:cstheme="minorHAnsi"/>
        </w:rPr>
        <w:t xml:space="preserve"> a result of an act of any such enemy or opposing armed forces; or</w:t>
      </w:r>
    </w:p>
    <w:p w:rsidR="006F6546" w:rsidRPr="006F6546" w:rsidRDefault="006F6546" w:rsidP="006F6546">
      <w:pPr>
        <w:spacing w:after="24" w:line="240" w:lineRule="auto"/>
        <w:ind w:left="1440"/>
        <w:rPr>
          <w:rFonts w:eastAsia="Times New Roman" w:cstheme="minorHAnsi"/>
        </w:rPr>
      </w:pPr>
      <w:r w:rsidRPr="006F6546">
        <w:rPr>
          <w:rFonts w:eastAsia="Times New Roman" w:cstheme="minorHAnsi"/>
        </w:rPr>
        <w:t xml:space="preserve">e) </w:t>
      </w:r>
      <w:proofErr w:type="gramStart"/>
      <w:r w:rsidRPr="006F6546">
        <w:rPr>
          <w:rFonts w:eastAsia="Times New Roman" w:cstheme="minorHAnsi"/>
        </w:rPr>
        <w:t>as</w:t>
      </w:r>
      <w:proofErr w:type="gramEnd"/>
      <w:r w:rsidRPr="006F6546">
        <w:rPr>
          <w:rFonts w:eastAsia="Times New Roman" w:cstheme="minorHAnsi"/>
        </w:rPr>
        <w:t xml:space="preserve"> a result of an act of any hostile foreign force.</w:t>
      </w:r>
    </w:p>
    <w:p w:rsidR="006F6546" w:rsidRPr="006F6546" w:rsidRDefault="006F6546" w:rsidP="006F6546">
      <w:pPr>
        <w:ind w:left="720"/>
        <w:rPr>
          <w:rFonts w:cstheme="minorHAnsi"/>
          <w:shd w:val="clear" w:color="auto" w:fill="FFFFFF"/>
        </w:rPr>
      </w:pPr>
    </w:p>
    <w:p w:rsidR="006F6546" w:rsidRPr="006F6546" w:rsidRDefault="006F6546" w:rsidP="006F6546">
      <w:pPr>
        <w:ind w:left="720"/>
        <w:rPr>
          <w:rFonts w:cstheme="minorHAnsi"/>
          <w:shd w:val="clear" w:color="auto" w:fill="FFFFFF"/>
        </w:rPr>
      </w:pPr>
      <w:r w:rsidRPr="006F6546">
        <w:rPr>
          <w:rFonts w:cstheme="minorHAnsi"/>
          <w:shd w:val="clear" w:color="auto" w:fill="FFFFFF"/>
        </w:rPr>
        <w:t xml:space="preserve">The Purple Heart differs from most other decorations in that an individual is not "recommended" for the decoration; rather he or she is entitled to it upon meeting specific criteria. A Purple Heart is awarded for the first wound suffered under conditions indicated above, but for each subsequent award an </w:t>
      </w:r>
      <w:hyperlink r:id="rId33" w:tooltip="Oak leaf cluster" w:history="1">
        <w:r w:rsidRPr="006F6546">
          <w:rPr>
            <w:rStyle w:val="Hyperlink"/>
            <w:rFonts w:cstheme="minorHAnsi"/>
            <w:color w:val="auto"/>
            <w:u w:val="none"/>
          </w:rPr>
          <w:t>oak leaf cluster</w:t>
        </w:r>
      </w:hyperlink>
      <w:r w:rsidRPr="006F6546">
        <w:rPr>
          <w:rFonts w:cstheme="minorHAnsi"/>
          <w:shd w:val="clear" w:color="auto" w:fill="FFFFFF"/>
        </w:rPr>
        <w:t xml:space="preserve"> or </w:t>
      </w:r>
      <w:hyperlink r:id="rId34" w:tooltip="5/16 inch star" w:history="1">
        <w:r w:rsidRPr="006F6546">
          <w:rPr>
            <w:rStyle w:val="Hyperlink"/>
            <w:rFonts w:cstheme="minorHAnsi"/>
            <w:color w:val="auto"/>
            <w:u w:val="none"/>
          </w:rPr>
          <w:t>5/16 inch star</w:t>
        </w:r>
      </w:hyperlink>
      <w:r w:rsidRPr="006F6546">
        <w:rPr>
          <w:rFonts w:cstheme="minorHAnsi"/>
          <w:shd w:val="clear" w:color="auto" w:fill="FFFFFF"/>
        </w:rPr>
        <w:t xml:space="preserve"> is worn in lieu of another medal. Not more than one award will be made for more than one wound or injury received at the same instant.</w:t>
      </w:r>
    </w:p>
    <w:p w:rsidR="006F6546" w:rsidRPr="006F6546" w:rsidRDefault="006F6546" w:rsidP="006F6546">
      <w:pPr>
        <w:pStyle w:val="NormalWeb"/>
        <w:spacing w:before="120" w:beforeAutospacing="0" w:after="120" w:afterAutospacing="0"/>
        <w:ind w:left="720"/>
        <w:rPr>
          <w:rFonts w:asciiTheme="minorHAnsi" w:hAnsiTheme="minorHAnsi" w:cstheme="minorHAnsi"/>
          <w:sz w:val="22"/>
          <w:szCs w:val="22"/>
        </w:rPr>
      </w:pPr>
      <w:r w:rsidRPr="006F6546">
        <w:rPr>
          <w:rFonts w:asciiTheme="minorHAnsi" w:hAnsiTheme="minorHAnsi" w:cstheme="minorHAnsi"/>
          <w:sz w:val="22"/>
          <w:szCs w:val="22"/>
        </w:rPr>
        <w:t xml:space="preserve">A "wound" is defined as an injury to any part of the body from an outside force or agent sustained under one or more of the conditions listed above. A physical lesion is not required; however, the wound for which the award is made must have required treatment by a medical officer and records of medical treatment for wounds or injuries received in action must have been made a matter of official record. When contemplating an award of this decoration, the key issue that commanders must take into consideration is the degree to which the enemy caused the injury. The fact that the proposed recipient was participating in direct or indirect combat </w:t>
      </w:r>
      <w:r w:rsidRPr="006F6546">
        <w:rPr>
          <w:rFonts w:asciiTheme="minorHAnsi" w:hAnsiTheme="minorHAnsi" w:cstheme="minorHAnsi"/>
          <w:sz w:val="22"/>
          <w:szCs w:val="22"/>
        </w:rPr>
        <w:lastRenderedPageBreak/>
        <w:t>operations is a necessary prerequisite, but is not sole justification for award. The Purple Heart is not awarded for non-combat injuries.</w:t>
      </w:r>
    </w:p>
    <w:p w:rsidR="006F6546" w:rsidRPr="00E74AF1" w:rsidRDefault="006F6546" w:rsidP="006F6546">
      <w:pPr>
        <w:pStyle w:val="NormalWeb"/>
        <w:spacing w:before="120" w:beforeAutospacing="0" w:after="120" w:afterAutospacing="0"/>
        <w:ind w:left="720"/>
        <w:rPr>
          <w:rFonts w:asciiTheme="minorHAnsi" w:hAnsiTheme="minorHAnsi" w:cstheme="minorHAnsi"/>
          <w:sz w:val="22"/>
          <w:szCs w:val="22"/>
        </w:rPr>
      </w:pPr>
      <w:r w:rsidRPr="00E74AF1">
        <w:rPr>
          <w:rFonts w:asciiTheme="minorHAnsi" w:hAnsiTheme="minorHAnsi" w:cstheme="minorHAnsi"/>
          <w:sz w:val="22"/>
          <w:szCs w:val="22"/>
        </w:rPr>
        <w:t xml:space="preserve">Enemy-related injuries which </w:t>
      </w:r>
      <w:r w:rsidRPr="00E74AF1">
        <w:rPr>
          <w:rFonts w:asciiTheme="minorHAnsi" w:hAnsiTheme="minorHAnsi" w:cstheme="minorHAnsi"/>
          <w:iCs/>
          <w:sz w:val="22"/>
          <w:szCs w:val="22"/>
        </w:rPr>
        <w:t>justify</w:t>
      </w:r>
      <w:r w:rsidRPr="00E74AF1">
        <w:rPr>
          <w:rFonts w:asciiTheme="minorHAnsi" w:hAnsiTheme="minorHAnsi" w:cstheme="minorHAnsi"/>
          <w:sz w:val="22"/>
          <w:szCs w:val="22"/>
        </w:rPr>
        <w:t xml:space="preserve"> the award of the Purple Heart include: injury caused by enemy </w:t>
      </w:r>
      <w:hyperlink r:id="rId35" w:tooltip="Bullet" w:history="1">
        <w:r w:rsidRPr="00E74AF1">
          <w:rPr>
            <w:rStyle w:val="Hyperlink"/>
            <w:rFonts w:asciiTheme="minorHAnsi" w:hAnsiTheme="minorHAnsi" w:cstheme="minorHAnsi"/>
            <w:color w:val="auto"/>
            <w:sz w:val="22"/>
            <w:szCs w:val="22"/>
            <w:u w:val="none"/>
          </w:rPr>
          <w:t>bullet</w:t>
        </w:r>
      </w:hyperlink>
      <w:r w:rsidRPr="00E74AF1">
        <w:rPr>
          <w:rFonts w:asciiTheme="minorHAnsi" w:hAnsiTheme="minorHAnsi" w:cstheme="minorHAnsi"/>
          <w:sz w:val="22"/>
          <w:szCs w:val="22"/>
        </w:rPr>
        <w:t xml:space="preserve">, </w:t>
      </w:r>
      <w:hyperlink r:id="rId36" w:tooltip="Fragmentation (weaponry)" w:history="1">
        <w:r w:rsidRPr="00E74AF1">
          <w:rPr>
            <w:rStyle w:val="Hyperlink"/>
            <w:rFonts w:asciiTheme="minorHAnsi" w:hAnsiTheme="minorHAnsi" w:cstheme="minorHAnsi"/>
            <w:color w:val="auto"/>
            <w:sz w:val="22"/>
            <w:szCs w:val="22"/>
            <w:u w:val="none"/>
          </w:rPr>
          <w:t>shrapnel</w:t>
        </w:r>
      </w:hyperlink>
      <w:r w:rsidRPr="00E74AF1">
        <w:rPr>
          <w:rFonts w:asciiTheme="minorHAnsi" w:hAnsiTheme="minorHAnsi" w:cstheme="minorHAnsi"/>
          <w:sz w:val="22"/>
          <w:szCs w:val="22"/>
        </w:rPr>
        <w:t xml:space="preserve">, or other projectile created by enemy action; injury caused by enemy placed </w:t>
      </w:r>
      <w:hyperlink r:id="rId37" w:tooltip="Land mine" w:history="1">
        <w:r w:rsidRPr="00E74AF1">
          <w:rPr>
            <w:rStyle w:val="Hyperlink"/>
            <w:rFonts w:asciiTheme="minorHAnsi" w:hAnsiTheme="minorHAnsi" w:cstheme="minorHAnsi"/>
            <w:color w:val="auto"/>
            <w:sz w:val="22"/>
            <w:szCs w:val="22"/>
            <w:u w:val="none"/>
          </w:rPr>
          <w:t>land mine</w:t>
        </w:r>
      </w:hyperlink>
      <w:r w:rsidRPr="00E74AF1">
        <w:rPr>
          <w:rFonts w:asciiTheme="minorHAnsi" w:hAnsiTheme="minorHAnsi" w:cstheme="minorHAnsi"/>
          <w:sz w:val="22"/>
          <w:szCs w:val="22"/>
        </w:rPr>
        <w:t xml:space="preserve">, </w:t>
      </w:r>
      <w:hyperlink r:id="rId38" w:tooltip="Naval mine" w:history="1">
        <w:r w:rsidRPr="00E74AF1">
          <w:rPr>
            <w:rStyle w:val="Hyperlink"/>
            <w:rFonts w:asciiTheme="minorHAnsi" w:hAnsiTheme="minorHAnsi" w:cstheme="minorHAnsi"/>
            <w:color w:val="auto"/>
            <w:sz w:val="22"/>
            <w:szCs w:val="22"/>
            <w:u w:val="none"/>
          </w:rPr>
          <w:t>naval mine</w:t>
        </w:r>
      </w:hyperlink>
      <w:r w:rsidRPr="00E74AF1">
        <w:rPr>
          <w:rFonts w:asciiTheme="minorHAnsi" w:hAnsiTheme="minorHAnsi" w:cstheme="minorHAnsi"/>
          <w:sz w:val="22"/>
          <w:szCs w:val="22"/>
        </w:rPr>
        <w:t xml:space="preserve">, or </w:t>
      </w:r>
      <w:hyperlink r:id="rId39" w:tooltip="Booby trap" w:history="1">
        <w:r w:rsidRPr="00E74AF1">
          <w:rPr>
            <w:rStyle w:val="Hyperlink"/>
            <w:rFonts w:asciiTheme="minorHAnsi" w:hAnsiTheme="minorHAnsi" w:cstheme="minorHAnsi"/>
            <w:color w:val="auto"/>
            <w:sz w:val="22"/>
            <w:szCs w:val="22"/>
            <w:u w:val="none"/>
          </w:rPr>
          <w:t>trap</w:t>
        </w:r>
      </w:hyperlink>
      <w:r w:rsidRPr="00E74AF1">
        <w:rPr>
          <w:rFonts w:asciiTheme="minorHAnsi" w:hAnsiTheme="minorHAnsi" w:cstheme="minorHAnsi"/>
          <w:sz w:val="22"/>
          <w:szCs w:val="22"/>
        </w:rPr>
        <w:t xml:space="preserve">; injury caused by enemy released </w:t>
      </w:r>
      <w:hyperlink r:id="rId40" w:tooltip="Chemical, biological, radiological, and nuclear" w:history="1">
        <w:r w:rsidRPr="00E74AF1">
          <w:rPr>
            <w:rStyle w:val="Hyperlink"/>
            <w:rFonts w:asciiTheme="minorHAnsi" w:hAnsiTheme="minorHAnsi" w:cstheme="minorHAnsi"/>
            <w:color w:val="auto"/>
            <w:sz w:val="22"/>
            <w:szCs w:val="22"/>
            <w:u w:val="none"/>
          </w:rPr>
          <w:t>chemical, biological, or nuclear agent</w:t>
        </w:r>
      </w:hyperlink>
      <w:r w:rsidRPr="00E74AF1">
        <w:rPr>
          <w:rFonts w:asciiTheme="minorHAnsi" w:hAnsiTheme="minorHAnsi" w:cstheme="minorHAnsi"/>
          <w:sz w:val="22"/>
          <w:szCs w:val="22"/>
        </w:rPr>
        <w:t xml:space="preserve">; injury caused by vehicle or aircraft accident resulting from enemy fire; and, concussion injuries caused as a result of enemy generated explosions. </w:t>
      </w:r>
    </w:p>
    <w:p w:rsidR="006F6546" w:rsidRPr="006F6546" w:rsidRDefault="00272EB7">
      <w:r>
        <w:t>Note: a</w:t>
      </w:r>
      <w:r w:rsidR="00372845">
        <w:t xml:space="preserve">ll </w:t>
      </w:r>
      <w:r w:rsidR="00E7642A">
        <w:t xml:space="preserve">of the above </w:t>
      </w:r>
      <w:r w:rsidR="00372845">
        <w:t>definition</w:t>
      </w:r>
      <w:r w:rsidR="00E7642A">
        <w:t>s</w:t>
      </w:r>
      <w:r w:rsidR="00372845">
        <w:t xml:space="preserve"> </w:t>
      </w:r>
      <w:r w:rsidR="00E7642A">
        <w:t xml:space="preserve">were </w:t>
      </w:r>
      <w:r w:rsidR="00372845">
        <w:t>copied from Wikipedia.</w:t>
      </w:r>
    </w:p>
    <w:p w:rsidR="00D33019" w:rsidRDefault="00D33019" w:rsidP="0086336C">
      <w:r>
        <w:t xml:space="preserve">For purposes of this affidavit, the importance of these Awards is that the combination of these can only be earned while serving in combat action in Vietnam during the period of my service.  </w:t>
      </w:r>
    </w:p>
    <w:p w:rsidR="0086336C" w:rsidRDefault="0086336C" w:rsidP="0086336C">
      <w:r>
        <w:t xml:space="preserve">The DD214 also shows my term of active duty was from March 17, 1966 through August 8, 1969. This entire period is within the time frame defined by the VA that troops were potentially exposed to Agent Orange, January 9, 1962 through May 7, 1975. </w:t>
      </w:r>
    </w:p>
    <w:p w:rsidR="00291455" w:rsidRDefault="0086336C">
      <w:r>
        <w:t xml:space="preserve">I therefore submit </w:t>
      </w:r>
      <w:r w:rsidR="00D33019">
        <w:t>that my DD214 is sufficient</w:t>
      </w:r>
      <w:r>
        <w:t xml:space="preserve"> evidence that I physically ser</w:t>
      </w:r>
      <w:r w:rsidR="004D6754">
        <w:t xml:space="preserve">ved within the Republic of </w:t>
      </w:r>
      <w:r>
        <w:t>Vietnam</w:t>
      </w:r>
      <w:r w:rsidR="00D33019">
        <w:t>.</w:t>
      </w:r>
      <w:r>
        <w:t xml:space="preserve">   </w:t>
      </w:r>
    </w:p>
    <w:p w:rsidR="00EE5EDC" w:rsidRDefault="00EE5EDC">
      <w:r>
        <w:t>Attached are the “Command Chronology” documents for the 1</w:t>
      </w:r>
      <w:r w:rsidRPr="00EE5EDC">
        <w:rPr>
          <w:vertAlign w:val="superscript"/>
        </w:rPr>
        <w:t>st</w:t>
      </w:r>
      <w:r>
        <w:t xml:space="preserve"> BN 3</w:t>
      </w:r>
      <w:r w:rsidRPr="00EE5EDC">
        <w:rPr>
          <w:vertAlign w:val="superscript"/>
        </w:rPr>
        <w:t>rd</w:t>
      </w:r>
      <w:r>
        <w:t xml:space="preserve"> Marines for the period of Sept</w:t>
      </w:r>
      <w:r w:rsidR="00A26346">
        <w:t>ember 1967 through July 1968 and 2</w:t>
      </w:r>
      <w:r w:rsidR="00A26346" w:rsidRPr="00A26346">
        <w:rPr>
          <w:vertAlign w:val="superscript"/>
        </w:rPr>
        <w:t>nd</w:t>
      </w:r>
      <w:r w:rsidR="00A26346">
        <w:t xml:space="preserve"> BN 7</w:t>
      </w:r>
      <w:r w:rsidR="00A26346" w:rsidRPr="00A26346">
        <w:rPr>
          <w:vertAlign w:val="superscript"/>
        </w:rPr>
        <w:t>th</w:t>
      </w:r>
      <w:r w:rsidR="00A26346">
        <w:t xml:space="preserve"> Marines for the period August 1968 through October 1968.</w:t>
      </w:r>
      <w:r w:rsidR="00372845">
        <w:t xml:space="preserve"> These documents were obtained from </w:t>
      </w:r>
      <w:hyperlink r:id="rId41" w:history="1">
        <w:r w:rsidR="00372845" w:rsidRPr="002F783A">
          <w:rPr>
            <w:rStyle w:val="Hyperlink"/>
          </w:rPr>
          <w:t>http://www.recordsofwar.com/vietnam/usmc/1stBn3rdMarines.htm</w:t>
        </w:r>
      </w:hyperlink>
      <w:r w:rsidR="00372845">
        <w:t xml:space="preserve"> and </w:t>
      </w:r>
      <w:hyperlink r:id="rId42" w:history="1">
        <w:r w:rsidR="00372845" w:rsidRPr="002F783A">
          <w:rPr>
            <w:rStyle w:val="Hyperlink"/>
          </w:rPr>
          <w:t>http://www.recordsofwar.com/vietnam/usmc/2ndBn7thMarines.htm</w:t>
        </w:r>
      </w:hyperlink>
      <w:r w:rsidR="00372845">
        <w:t xml:space="preserve"> </w:t>
      </w:r>
    </w:p>
    <w:p w:rsidR="00081227" w:rsidRDefault="00081227">
      <w:r>
        <w:t>Sincerely,</w:t>
      </w:r>
    </w:p>
    <w:p w:rsidR="00081227" w:rsidRDefault="00081227">
      <w:r>
        <w:t>Eugene G. Maurice</w:t>
      </w:r>
    </w:p>
    <w:sectPr w:rsidR="000812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55"/>
    <w:rsid w:val="00041143"/>
    <w:rsid w:val="00075522"/>
    <w:rsid w:val="00081227"/>
    <w:rsid w:val="00272EB7"/>
    <w:rsid w:val="00291455"/>
    <w:rsid w:val="00372845"/>
    <w:rsid w:val="00383CCC"/>
    <w:rsid w:val="004D6754"/>
    <w:rsid w:val="0053485B"/>
    <w:rsid w:val="00582958"/>
    <w:rsid w:val="005958B2"/>
    <w:rsid w:val="00694CF1"/>
    <w:rsid w:val="006D6F8F"/>
    <w:rsid w:val="006F6546"/>
    <w:rsid w:val="0086336C"/>
    <w:rsid w:val="008F6A48"/>
    <w:rsid w:val="00A26346"/>
    <w:rsid w:val="00B91259"/>
    <w:rsid w:val="00D33019"/>
    <w:rsid w:val="00D917DE"/>
    <w:rsid w:val="00E06A9E"/>
    <w:rsid w:val="00E74AF1"/>
    <w:rsid w:val="00E7642A"/>
    <w:rsid w:val="00EB0F93"/>
    <w:rsid w:val="00EE5EDC"/>
    <w:rsid w:val="00F6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6A48"/>
    <w:rPr>
      <w:color w:val="0000FF"/>
      <w:u w:val="single"/>
    </w:rPr>
  </w:style>
  <w:style w:type="character" w:customStyle="1" w:styleId="frac">
    <w:name w:val="frac"/>
    <w:basedOn w:val="DefaultParagraphFont"/>
    <w:rsid w:val="008F6A48"/>
  </w:style>
  <w:style w:type="paragraph" w:styleId="NormalWeb">
    <w:name w:val="Normal (Web)"/>
    <w:basedOn w:val="Normal"/>
    <w:uiPriority w:val="99"/>
    <w:semiHidden/>
    <w:unhideWhenUsed/>
    <w:rsid w:val="006F654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6A48"/>
    <w:rPr>
      <w:color w:val="0000FF"/>
      <w:u w:val="single"/>
    </w:rPr>
  </w:style>
  <w:style w:type="character" w:customStyle="1" w:styleId="frac">
    <w:name w:val="frac"/>
    <w:basedOn w:val="DefaultParagraphFont"/>
    <w:rsid w:val="008F6A48"/>
  </w:style>
  <w:style w:type="paragraph" w:styleId="NormalWeb">
    <w:name w:val="Normal (Web)"/>
    <w:basedOn w:val="Normal"/>
    <w:uiPriority w:val="99"/>
    <w:semiHidden/>
    <w:unhideWhenUsed/>
    <w:rsid w:val="006F654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042054">
      <w:bodyDiv w:val="1"/>
      <w:marLeft w:val="0"/>
      <w:marRight w:val="0"/>
      <w:marTop w:val="0"/>
      <w:marBottom w:val="0"/>
      <w:divBdr>
        <w:top w:val="none" w:sz="0" w:space="0" w:color="auto"/>
        <w:left w:val="none" w:sz="0" w:space="0" w:color="auto"/>
        <w:bottom w:val="none" w:sz="0" w:space="0" w:color="auto"/>
        <w:right w:val="none" w:sz="0" w:space="0" w:color="auto"/>
      </w:divBdr>
    </w:div>
    <w:div w:id="558514389">
      <w:bodyDiv w:val="1"/>
      <w:marLeft w:val="0"/>
      <w:marRight w:val="0"/>
      <w:marTop w:val="0"/>
      <w:marBottom w:val="0"/>
      <w:divBdr>
        <w:top w:val="none" w:sz="0" w:space="0" w:color="auto"/>
        <w:left w:val="none" w:sz="0" w:space="0" w:color="auto"/>
        <w:bottom w:val="none" w:sz="0" w:space="0" w:color="auto"/>
        <w:right w:val="none" w:sz="0" w:space="0" w:color="auto"/>
      </w:divBdr>
    </w:div>
    <w:div w:id="1655449800">
      <w:bodyDiv w:val="1"/>
      <w:marLeft w:val="0"/>
      <w:marRight w:val="0"/>
      <w:marTop w:val="0"/>
      <w:marBottom w:val="0"/>
      <w:divBdr>
        <w:top w:val="none" w:sz="0" w:space="0" w:color="auto"/>
        <w:left w:val="none" w:sz="0" w:space="0" w:color="auto"/>
        <w:bottom w:val="none" w:sz="0" w:space="0" w:color="auto"/>
        <w:right w:val="none" w:sz="0" w:space="0" w:color="auto"/>
      </w:divBdr>
    </w:div>
    <w:div w:id="1864593804">
      <w:bodyDiv w:val="1"/>
      <w:marLeft w:val="0"/>
      <w:marRight w:val="0"/>
      <w:marTop w:val="0"/>
      <w:marBottom w:val="0"/>
      <w:divBdr>
        <w:top w:val="none" w:sz="0" w:space="0" w:color="auto"/>
        <w:left w:val="none" w:sz="0" w:space="0" w:color="auto"/>
        <w:bottom w:val="none" w:sz="0" w:space="0" w:color="auto"/>
        <w:right w:val="none" w:sz="0" w:space="0" w:color="auto"/>
      </w:divBdr>
    </w:div>
    <w:div w:id="208282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United_States_Department_of_Defense" TargetMode="External"/><Relationship Id="rId13" Type="http://schemas.openxmlformats.org/officeDocument/2006/relationships/hyperlink" Target="https://en.wikipedia.org/wiki/Vietnam_Service_Medal" TargetMode="External"/><Relationship Id="rId18" Type="http://schemas.openxmlformats.org/officeDocument/2006/relationships/hyperlink" Target="https://en.wikipedia.org/wiki/Vietnam_Service_Medal" TargetMode="External"/><Relationship Id="rId26" Type="http://schemas.openxmlformats.org/officeDocument/2006/relationships/hyperlink" Target="https://en.wikipedia.org/wiki/Vietnam_War" TargetMode="External"/><Relationship Id="rId39" Type="http://schemas.openxmlformats.org/officeDocument/2006/relationships/hyperlink" Target="https://en.wikipedia.org/wiki/Booby_trap" TargetMode="External"/><Relationship Id="rId3" Type="http://schemas.openxmlformats.org/officeDocument/2006/relationships/settings" Target="settings.xml"/><Relationship Id="rId21" Type="http://schemas.openxmlformats.org/officeDocument/2006/relationships/hyperlink" Target="https://en.wikipedia.org/wiki/Vietnam_Service_Medal" TargetMode="External"/><Relationship Id="rId34" Type="http://schemas.openxmlformats.org/officeDocument/2006/relationships/hyperlink" Target="https://en.wikipedia.org/wiki/5/16_inch_star" TargetMode="External"/><Relationship Id="rId42" Type="http://schemas.openxmlformats.org/officeDocument/2006/relationships/hyperlink" Target="http://www.recordsofwar.com/vietnam/usmc/2ndBn7thMarines.htm" TargetMode="External"/><Relationship Id="rId7" Type="http://schemas.openxmlformats.org/officeDocument/2006/relationships/hyperlink" Target="https://en.wikipedia.org/wiki/Cambodia" TargetMode="External"/><Relationship Id="rId12" Type="http://schemas.openxmlformats.org/officeDocument/2006/relationships/hyperlink" Target="https://en.wikipedia.org/wiki/Vietnam_Service_Medal" TargetMode="External"/><Relationship Id="rId17" Type="http://schemas.openxmlformats.org/officeDocument/2006/relationships/hyperlink" Target="https://en.wikipedia.org/wiki/Vietnam_Service_Medal" TargetMode="External"/><Relationship Id="rId25" Type="http://schemas.openxmlformats.org/officeDocument/2006/relationships/hyperlink" Target="https://en.wikipedia.org/wiki/South_Vietnam" TargetMode="External"/><Relationship Id="rId33" Type="http://schemas.openxmlformats.org/officeDocument/2006/relationships/hyperlink" Target="https://en.wikipedia.org/wiki/Oak_leaf_cluster" TargetMode="External"/><Relationship Id="rId38" Type="http://schemas.openxmlformats.org/officeDocument/2006/relationships/hyperlink" Target="https://en.wikipedia.org/wiki/Naval_mine" TargetMode="External"/><Relationship Id="rId2" Type="http://schemas.microsoft.com/office/2007/relationships/stylesWithEffects" Target="stylesWithEffects.xml"/><Relationship Id="rId16" Type="http://schemas.openxmlformats.org/officeDocument/2006/relationships/hyperlink" Target="https://en.wikipedia.org/wiki/Vietnam_Service_Medal" TargetMode="External"/><Relationship Id="rId20" Type="http://schemas.openxmlformats.org/officeDocument/2006/relationships/hyperlink" Target="https://en.wikipedia.org/wiki/Vietnam_Service_Medal" TargetMode="External"/><Relationship Id="rId29" Type="http://schemas.openxmlformats.org/officeDocument/2006/relationships/hyperlink" Target="https://en.wikipedia.org/wiki/Guam" TargetMode="External"/><Relationship Id="rId41" Type="http://schemas.openxmlformats.org/officeDocument/2006/relationships/hyperlink" Target="http://www.recordsofwar.com/vietnam/usmc/1stBn3rdMarines.htm" TargetMode="External"/><Relationship Id="rId1" Type="http://schemas.openxmlformats.org/officeDocument/2006/relationships/styles" Target="styles.xml"/><Relationship Id="rId6" Type="http://schemas.openxmlformats.org/officeDocument/2006/relationships/hyperlink" Target="https://en.wikipedia.org/wiki/Laos" TargetMode="External"/><Relationship Id="rId11" Type="http://schemas.openxmlformats.org/officeDocument/2006/relationships/hyperlink" Target="https://en.wikipedia.org/wiki/Vietnam_Service_Medal" TargetMode="External"/><Relationship Id="rId24" Type="http://schemas.openxmlformats.org/officeDocument/2006/relationships/hyperlink" Target="https://en.wikipedia.org/wiki/Vietnam_Campaign_Medal" TargetMode="External"/><Relationship Id="rId32" Type="http://schemas.openxmlformats.org/officeDocument/2006/relationships/hyperlink" Target="https://en.wikipedia.org/wiki/Vietnam_Service_Medal" TargetMode="External"/><Relationship Id="rId37" Type="http://schemas.openxmlformats.org/officeDocument/2006/relationships/hyperlink" Target="https://en.wikipedia.org/wiki/Land_mine" TargetMode="External"/><Relationship Id="rId40" Type="http://schemas.openxmlformats.org/officeDocument/2006/relationships/hyperlink" Target="https://en.wikipedia.org/wiki/Chemical,_biological,_radiological,_and_nuclear" TargetMode="External"/><Relationship Id="rId5" Type="http://schemas.openxmlformats.org/officeDocument/2006/relationships/hyperlink" Target="https://en.wikipedia.org/wiki/Thailand" TargetMode="External"/><Relationship Id="rId15" Type="http://schemas.openxmlformats.org/officeDocument/2006/relationships/hyperlink" Target="https://en.wikipedia.org/wiki/Vietnam_Service_Medal" TargetMode="External"/><Relationship Id="rId23" Type="http://schemas.openxmlformats.org/officeDocument/2006/relationships/hyperlink" Target="https://en.wikipedia.org/wiki/Vietnam_Service_Medal" TargetMode="External"/><Relationship Id="rId28" Type="http://schemas.openxmlformats.org/officeDocument/2006/relationships/hyperlink" Target="https://en.wikipedia.org/wiki/Thailand" TargetMode="External"/><Relationship Id="rId36" Type="http://schemas.openxmlformats.org/officeDocument/2006/relationships/hyperlink" Target="https://en.wikipedia.org/wiki/Fragmentation_(weaponry)" TargetMode="External"/><Relationship Id="rId10" Type="http://schemas.openxmlformats.org/officeDocument/2006/relationships/hyperlink" Target="https://en.wikipedia.org/wiki/Campaign_streamer" TargetMode="External"/><Relationship Id="rId19" Type="http://schemas.openxmlformats.org/officeDocument/2006/relationships/hyperlink" Target="https://en.wikipedia.org/wiki/Vietnam_Service_Medal" TargetMode="External"/><Relationship Id="rId31" Type="http://schemas.openxmlformats.org/officeDocument/2006/relationships/hyperlink" Target="https://en.wikipedia.org/wiki/Armed_Forces_Expeditionary_Medal"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Campaign_star" TargetMode="External"/><Relationship Id="rId14" Type="http://schemas.openxmlformats.org/officeDocument/2006/relationships/hyperlink" Target="https://en.wikipedia.org/wiki/Vietnam_Service_Medal" TargetMode="External"/><Relationship Id="rId22" Type="http://schemas.openxmlformats.org/officeDocument/2006/relationships/hyperlink" Target="https://en.wikipedia.org/wiki/Vietnam_Service_Medal" TargetMode="External"/><Relationship Id="rId27" Type="http://schemas.openxmlformats.org/officeDocument/2006/relationships/hyperlink" Target="https://en.wikipedia.org/wiki/7th_Fleet" TargetMode="External"/><Relationship Id="rId30" Type="http://schemas.openxmlformats.org/officeDocument/2006/relationships/hyperlink" Target="https://en.wikipedia.org/wiki/Vietnam_Campaign_Medal" TargetMode="External"/><Relationship Id="rId35" Type="http://schemas.openxmlformats.org/officeDocument/2006/relationships/hyperlink" Target="https://en.wikipedia.org/wiki/Bullet"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345</TotalTime>
  <Pages>4</Pages>
  <Words>1890</Words>
  <Characters>10774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 Maurice</dc:creator>
  <cp:lastModifiedBy>Gene Maurice</cp:lastModifiedBy>
  <cp:revision>15</cp:revision>
  <dcterms:created xsi:type="dcterms:W3CDTF">2020-03-19T16:25:00Z</dcterms:created>
  <dcterms:modified xsi:type="dcterms:W3CDTF">2020-03-23T19:03:00Z</dcterms:modified>
</cp:coreProperties>
</file>