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35" w:rsidRDefault="00AA4935" w:rsidP="00AA4935">
      <w:pPr>
        <w:spacing w:after="0"/>
      </w:pPr>
      <w:r>
        <w:t>Eugene G. Maurice</w:t>
      </w:r>
      <w:r>
        <w:tab/>
      </w:r>
      <w:r>
        <w:tab/>
      </w:r>
      <w:r>
        <w:tab/>
      </w:r>
      <w:r>
        <w:tab/>
      </w:r>
      <w:r>
        <w:tab/>
        <w:t>March 23, 2020</w:t>
      </w:r>
    </w:p>
    <w:p w:rsidR="00AA4935" w:rsidRDefault="00AA4935" w:rsidP="00AA4935">
      <w:pPr>
        <w:spacing w:after="0"/>
      </w:pPr>
      <w:r>
        <w:t>61 Shockley Way</w:t>
      </w:r>
      <w:r>
        <w:tab/>
      </w:r>
      <w:r>
        <w:tab/>
      </w:r>
      <w:r>
        <w:tab/>
      </w:r>
      <w:r>
        <w:tab/>
      </w:r>
      <w:r>
        <w:tab/>
        <w:t>308/PG</w:t>
      </w:r>
    </w:p>
    <w:p w:rsidR="00AA4935" w:rsidRDefault="00AA4935" w:rsidP="00AA4935">
      <w:pPr>
        <w:spacing w:after="0"/>
      </w:pPr>
      <w:r>
        <w:t>Dallas, GA 30157</w:t>
      </w:r>
      <w:r>
        <w:tab/>
      </w:r>
      <w:r>
        <w:tab/>
      </w:r>
      <w:r>
        <w:tab/>
      </w:r>
      <w:r>
        <w:tab/>
      </w:r>
      <w:r>
        <w:tab/>
        <w:t>File Number: 26251678</w:t>
      </w:r>
    </w:p>
    <w:p w:rsidR="00D13C0E" w:rsidRDefault="00FA1280"/>
    <w:p w:rsidR="00AA4935" w:rsidRDefault="00AA4935">
      <w:pPr>
        <w:rPr>
          <w:b/>
          <w:u w:val="single"/>
        </w:rPr>
      </w:pPr>
      <w:r w:rsidRPr="00AA4935">
        <w:rPr>
          <w:b/>
          <w:u w:val="single"/>
        </w:rPr>
        <w:t xml:space="preserve">Scientific Evidence of the Link </w:t>
      </w:r>
      <w:proofErr w:type="gramStart"/>
      <w:r w:rsidRPr="00AA4935">
        <w:rPr>
          <w:b/>
          <w:u w:val="single"/>
        </w:rPr>
        <w:t>Between</w:t>
      </w:r>
      <w:proofErr w:type="gramEnd"/>
      <w:r w:rsidRPr="00AA4935">
        <w:rPr>
          <w:b/>
          <w:u w:val="single"/>
        </w:rPr>
        <w:t xml:space="preserve"> Agent Orange and Hypertension</w:t>
      </w:r>
    </w:p>
    <w:p w:rsidR="00AA4935" w:rsidRDefault="00AA4935" w:rsidP="00AA4935">
      <w:r>
        <w:t xml:space="preserve">I have attached a copy of the </w:t>
      </w:r>
      <w:r w:rsidRPr="00AA4935">
        <w:t>Consensus Study Report of</w:t>
      </w:r>
      <w:r>
        <w:t xml:space="preserve"> </w:t>
      </w:r>
      <w:r w:rsidRPr="00AA4935">
        <w:rPr>
          <w:rFonts w:eastAsia="Times-Roman" w:cstheme="minorHAnsi"/>
        </w:rPr>
        <w:t>National Academy of Sciences</w:t>
      </w:r>
      <w:r>
        <w:rPr>
          <w:rFonts w:eastAsia="Times-Roman" w:cstheme="minorHAnsi"/>
        </w:rPr>
        <w:t xml:space="preserve">, </w:t>
      </w:r>
      <w:r>
        <w:t xml:space="preserve">“Veterans and Agent Orange Update 11 (2018)” issued by the </w:t>
      </w:r>
      <w:r>
        <w:t>Committee to Review the Health Effects in Vietnam Veterans</w:t>
      </w:r>
      <w:r>
        <w:t xml:space="preserve"> </w:t>
      </w:r>
      <w:r>
        <w:t>of Exposure to Herbicides</w:t>
      </w:r>
      <w:r>
        <w:t xml:space="preserve">, the </w:t>
      </w:r>
      <w:r>
        <w:t>Board on Population Health</w:t>
      </w:r>
      <w:r>
        <w:t xml:space="preserve">, and the </w:t>
      </w:r>
      <w:r>
        <w:t>Public Health Practice</w:t>
      </w:r>
      <w:r>
        <w:t xml:space="preserve"> </w:t>
      </w:r>
      <w:r>
        <w:t>Health and Medicine Division</w:t>
      </w:r>
      <w:r>
        <w:t xml:space="preserve">. </w:t>
      </w:r>
    </w:p>
    <w:p w:rsidR="00AA4935" w:rsidRDefault="00C35121" w:rsidP="00C35121">
      <w:pPr>
        <w:autoSpaceDE w:val="0"/>
        <w:autoSpaceDN w:val="0"/>
        <w:adjustRightInd w:val="0"/>
        <w:spacing w:after="0" w:line="240" w:lineRule="auto"/>
        <w:rPr>
          <w:rFonts w:eastAsia="Times-Roman" w:cstheme="minorHAnsi"/>
        </w:rPr>
      </w:pPr>
      <w:r w:rsidRPr="00C35121">
        <w:rPr>
          <w:rFonts w:eastAsia="Times-Roman" w:cstheme="minorHAnsi"/>
        </w:rPr>
        <w:t xml:space="preserve">This activity was supported by Contract/Task Order No. </w:t>
      </w:r>
      <w:proofErr w:type="gramStart"/>
      <w:r w:rsidRPr="00C35121">
        <w:rPr>
          <w:rFonts w:eastAsia="Times-Roman" w:cstheme="minorHAnsi"/>
        </w:rPr>
        <w:t>VA701-16-C-0040 between the</w:t>
      </w:r>
      <w:r>
        <w:rPr>
          <w:rFonts w:eastAsia="Times-Roman" w:cstheme="minorHAnsi"/>
        </w:rPr>
        <w:t xml:space="preserve"> </w:t>
      </w:r>
      <w:r w:rsidRPr="00C35121">
        <w:rPr>
          <w:rFonts w:eastAsia="Times-Roman" w:cstheme="minorHAnsi"/>
        </w:rPr>
        <w:t>National Academy of Sciences and the Department of Veterans Affairs.</w:t>
      </w:r>
      <w:proofErr w:type="gramEnd"/>
    </w:p>
    <w:p w:rsidR="00FA1280" w:rsidRDefault="00FA1280" w:rsidP="00C35121">
      <w:pPr>
        <w:autoSpaceDE w:val="0"/>
        <w:autoSpaceDN w:val="0"/>
        <w:adjustRightInd w:val="0"/>
        <w:spacing w:after="0" w:line="240" w:lineRule="auto"/>
        <w:rPr>
          <w:rFonts w:eastAsia="Times-Roman" w:cstheme="minorHAnsi"/>
        </w:rPr>
      </w:pPr>
    </w:p>
    <w:p w:rsidR="00FA1280" w:rsidRDefault="00FA1280" w:rsidP="00C35121">
      <w:pPr>
        <w:autoSpaceDE w:val="0"/>
        <w:autoSpaceDN w:val="0"/>
        <w:adjustRightInd w:val="0"/>
        <w:spacing w:after="0" w:line="240" w:lineRule="auto"/>
        <w:rPr>
          <w:rFonts w:eastAsia="Times-Roman" w:cstheme="minorHAnsi"/>
        </w:rPr>
      </w:pPr>
      <w:r>
        <w:rPr>
          <w:rFonts w:eastAsia="Times-Roman" w:cstheme="minorHAnsi"/>
        </w:rPr>
        <w:t>In part the report states that:</w:t>
      </w: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r w:rsidRPr="00FA1280">
        <w:rPr>
          <w:rFonts w:cstheme="minorHAnsi"/>
          <w:b/>
          <w:bCs/>
          <w:i/>
        </w:rPr>
        <w:t>Sufficient Evidence of an Association</w:t>
      </w: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rPr>
          <w:rFonts w:eastAsia="Times-Roman" w:cstheme="minorHAnsi"/>
          <w:i/>
        </w:rPr>
      </w:pPr>
      <w:r w:rsidRPr="00FA1280">
        <w:rPr>
          <w:rFonts w:eastAsia="Times-Roman" w:cstheme="minorHAnsi"/>
          <w:i/>
        </w:rPr>
        <w:t>Epidemiologic evidence is sufficient to conclude that there is a positive association. That is,</w:t>
      </w:r>
      <w:r w:rsidRPr="00FA1280">
        <w:rPr>
          <w:rFonts w:eastAsia="Times-Roman" w:cstheme="minorHAnsi"/>
          <w:i/>
        </w:rPr>
        <w:t xml:space="preserve"> </w:t>
      </w:r>
      <w:r w:rsidRPr="00FA1280">
        <w:rPr>
          <w:rFonts w:eastAsia="Times-Roman" w:cstheme="minorHAnsi"/>
          <w:i/>
        </w:rPr>
        <w:t>a positive association has been observed between exposure to herbicides and the outcome in</w:t>
      </w:r>
      <w:r w:rsidRPr="00FA1280">
        <w:rPr>
          <w:rFonts w:eastAsia="Times-Roman" w:cstheme="minorHAnsi"/>
          <w:i/>
        </w:rPr>
        <w:t xml:space="preserve"> </w:t>
      </w:r>
      <w:r w:rsidRPr="00FA1280">
        <w:rPr>
          <w:rFonts w:eastAsia="Times-Roman" w:cstheme="minorHAnsi"/>
          <w:i/>
        </w:rPr>
        <w:t>studies in which chance, bias, and confounding could be ruled out with reasonable confidence.</w:t>
      </w:r>
      <w:r w:rsidRPr="00FA1280">
        <w:rPr>
          <w:rFonts w:eastAsia="Times-Italic" w:cstheme="minorHAnsi"/>
          <w:i/>
          <w:iCs/>
        </w:rPr>
        <w:t xml:space="preserve"> </w:t>
      </w:r>
      <w:r w:rsidRPr="00FA1280">
        <w:rPr>
          <w:rFonts w:eastAsia="Times-Roman" w:cstheme="minorHAnsi"/>
          <w:i/>
        </w:rPr>
        <w:t>For example, if several small studies that are free of bias and confounding show an association</w:t>
      </w:r>
      <w:r w:rsidRPr="00FA1280">
        <w:rPr>
          <w:rFonts w:eastAsia="Times-Roman" w:cstheme="minorHAnsi"/>
          <w:i/>
        </w:rPr>
        <w:t xml:space="preserve"> </w:t>
      </w:r>
      <w:r w:rsidRPr="00FA1280">
        <w:rPr>
          <w:rFonts w:eastAsia="Times-Roman" w:cstheme="minorHAnsi"/>
          <w:i/>
        </w:rPr>
        <w:t>that is consistent in magnitude and direction, there could be sufficient evidence of an association.</w:t>
      </w:r>
      <w:r w:rsidRPr="00FA1280">
        <w:rPr>
          <w:rFonts w:eastAsia="Times-Roman" w:cstheme="minorHAnsi"/>
          <w:i/>
        </w:rPr>
        <w:t xml:space="preserve"> </w:t>
      </w:r>
    </w:p>
    <w:p w:rsidR="00FA1280" w:rsidRDefault="00FA1280" w:rsidP="00FA1280">
      <w:pPr>
        <w:autoSpaceDE w:val="0"/>
        <w:autoSpaceDN w:val="0"/>
        <w:adjustRightInd w:val="0"/>
        <w:spacing w:after="0" w:line="240" w:lineRule="auto"/>
        <w:rPr>
          <w:rFonts w:eastAsia="Times-Roman" w:cstheme="minorHAnsi"/>
          <w:i/>
        </w:rPr>
      </w:pP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rPr>
          <w:rFonts w:eastAsia="Times-Roman" w:cstheme="minorHAnsi"/>
          <w:i/>
        </w:rPr>
      </w:pPr>
      <w:bookmarkStart w:id="0" w:name="_GoBack"/>
      <w:bookmarkEnd w:id="0"/>
      <w:r w:rsidRPr="00FA1280">
        <w:rPr>
          <w:rFonts w:eastAsia="Times-Roman" w:cstheme="minorHAnsi"/>
          <w:i/>
        </w:rPr>
        <w:t>There is sufficient evidence of an association between exposure to the chemicals of interest and the</w:t>
      </w:r>
      <w:r w:rsidRPr="00FA1280">
        <w:rPr>
          <w:rFonts w:eastAsia="Times-Roman" w:cstheme="minorHAnsi"/>
          <w:i/>
        </w:rPr>
        <w:t xml:space="preserve"> </w:t>
      </w:r>
      <w:r w:rsidRPr="00FA1280">
        <w:rPr>
          <w:rFonts w:eastAsia="Times-Roman" w:cstheme="minorHAnsi"/>
          <w:i/>
        </w:rPr>
        <w:t>following health outcomes:</w:t>
      </w: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ind w:left="720"/>
        <w:rPr>
          <w:rFonts w:eastAsia="Times-Roman" w:cstheme="minorHAnsi"/>
          <w:i/>
        </w:rPr>
      </w:pPr>
      <w:r w:rsidRPr="00FA1280">
        <w:rPr>
          <w:rFonts w:eastAsia="Times-Roman" w:cstheme="minorHAnsi"/>
          <w:i/>
        </w:rPr>
        <w:t>Soft-tissue sarcoma (including heart)</w:t>
      </w: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ind w:left="1440"/>
        <w:rPr>
          <w:rFonts w:eastAsia="Times-Roman" w:cstheme="minorHAnsi"/>
          <w:i/>
        </w:rPr>
      </w:pPr>
      <w:r w:rsidRPr="00FA1280">
        <w:rPr>
          <w:rFonts w:eastAsia="Times-Roman" w:cstheme="minorHAnsi"/>
          <w:i/>
        </w:rPr>
        <w:t>* Non-Hodgkin lymphoma</w:t>
      </w: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ind w:left="1440"/>
        <w:rPr>
          <w:rFonts w:eastAsia="Times-Roman" w:cstheme="minorHAnsi"/>
          <w:i/>
        </w:rPr>
      </w:pPr>
      <w:r w:rsidRPr="00FA1280">
        <w:rPr>
          <w:rFonts w:eastAsia="Times-Roman" w:cstheme="minorHAnsi"/>
          <w:i/>
        </w:rPr>
        <w:t>* Chronic lymphocytic leukemia (including hairy cell leukemia and other chronic B-</w:t>
      </w:r>
      <w:proofErr w:type="gramStart"/>
      <w:r w:rsidRPr="00FA1280">
        <w:rPr>
          <w:rFonts w:eastAsia="Times-Roman" w:cstheme="minorHAnsi"/>
          <w:i/>
        </w:rPr>
        <w:t>cell</w:t>
      </w:r>
      <w:r w:rsidRPr="00FA1280">
        <w:rPr>
          <w:rFonts w:eastAsia="Times-Roman" w:cstheme="minorHAnsi"/>
          <w:i/>
        </w:rPr>
        <w:t xml:space="preserve">  (</w:t>
      </w:r>
      <w:proofErr w:type="spellStart"/>
      <w:proofErr w:type="gramEnd"/>
      <w:r w:rsidRPr="00FA1280">
        <w:rPr>
          <w:rFonts w:eastAsia="Times-Roman" w:cstheme="minorHAnsi"/>
          <w:i/>
        </w:rPr>
        <w:t>leukemias</w:t>
      </w:r>
      <w:proofErr w:type="spellEnd"/>
      <w:r w:rsidRPr="00FA1280">
        <w:rPr>
          <w:rFonts w:eastAsia="Times-Roman" w:cstheme="minorHAnsi"/>
          <w:i/>
        </w:rPr>
        <w:t>)</w:t>
      </w: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ind w:left="1440"/>
        <w:rPr>
          <w:rFonts w:eastAsia="Times-Roman" w:cstheme="minorHAnsi"/>
          <w:i/>
        </w:rPr>
      </w:pPr>
      <w:r w:rsidRPr="00FA1280">
        <w:rPr>
          <w:rFonts w:eastAsia="Times-Roman" w:cstheme="minorHAnsi"/>
          <w:i/>
        </w:rPr>
        <w:t>* Hodgkin lymphoma</w:t>
      </w:r>
      <w:r w:rsidRPr="00FA1280">
        <w:rPr>
          <w:rFonts w:eastAsia="Times-Roman" w:cstheme="minorHAnsi"/>
          <w:i/>
        </w:rPr>
        <w:t xml:space="preserve"> </w:t>
      </w:r>
      <w:proofErr w:type="spellStart"/>
      <w:r w:rsidRPr="00FA1280">
        <w:rPr>
          <w:rFonts w:eastAsia="Times-Roman" w:cstheme="minorHAnsi"/>
          <w:i/>
        </w:rPr>
        <w:t>Chloracne</w:t>
      </w:r>
      <w:proofErr w:type="spellEnd"/>
    </w:p>
    <w:p w:rsidR="00FA1280" w:rsidRDefault="00FA1280" w:rsidP="00FA1280">
      <w:pPr>
        <w:autoSpaceDE w:val="0"/>
        <w:autoSpaceDN w:val="0"/>
        <w:adjustRightInd w:val="0"/>
        <w:spacing w:after="0" w:line="240" w:lineRule="auto"/>
        <w:ind w:left="720"/>
        <w:rPr>
          <w:rFonts w:eastAsia="Times-Roman" w:cstheme="minorHAnsi"/>
          <w:i/>
        </w:rPr>
      </w:pPr>
      <w:r w:rsidRPr="00FA1280">
        <w:rPr>
          <w:rFonts w:cstheme="minorHAnsi"/>
          <w:b/>
          <w:bCs/>
          <w:i/>
        </w:rPr>
        <w:t xml:space="preserve">Hypertension </w:t>
      </w:r>
      <w:r w:rsidRPr="00FA1280">
        <w:rPr>
          <w:rFonts w:eastAsia="Times-Roman" w:cstheme="minorHAnsi"/>
          <w:i/>
        </w:rPr>
        <w:t xml:space="preserve">(category change from Limited or Suggestive in </w:t>
      </w:r>
      <w:r w:rsidRPr="00FA1280">
        <w:rPr>
          <w:rFonts w:eastAsia="Times-Italic" w:cstheme="minorHAnsi"/>
          <w:i/>
          <w:iCs/>
        </w:rPr>
        <w:t>Update 2014</w:t>
      </w:r>
      <w:r w:rsidRPr="00FA1280">
        <w:rPr>
          <w:rFonts w:eastAsia="Times-Roman" w:cstheme="minorHAnsi"/>
          <w:i/>
        </w:rPr>
        <w:t>)</w:t>
      </w:r>
    </w:p>
    <w:p w:rsidR="00FA1280" w:rsidRDefault="00FA1280" w:rsidP="00FA12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:rsidR="00FA1280" w:rsidRPr="00FA1280" w:rsidRDefault="00FA1280" w:rsidP="00FA128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See attachment: </w:t>
      </w:r>
      <w:r w:rsidRPr="00FA1280">
        <w:rPr>
          <w:rFonts w:cstheme="minorHAnsi"/>
          <w:b/>
          <w:u w:val="single"/>
        </w:rPr>
        <w:t>Veterans and Agent Orange Update 11 (2018).pdf</w:t>
      </w:r>
    </w:p>
    <w:sectPr w:rsidR="00FA1280" w:rsidRPr="00FA1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35"/>
    <w:rsid w:val="00075522"/>
    <w:rsid w:val="00AA4935"/>
    <w:rsid w:val="00C35121"/>
    <w:rsid w:val="00F65152"/>
    <w:rsid w:val="00FA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2</cp:revision>
  <dcterms:created xsi:type="dcterms:W3CDTF">2020-03-23T19:01:00Z</dcterms:created>
  <dcterms:modified xsi:type="dcterms:W3CDTF">2020-03-23T19:25:00Z</dcterms:modified>
</cp:coreProperties>
</file>